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790DA" w14:textId="4A7D371C" w:rsidR="008C01C7" w:rsidRDefault="000C1C15" w:rsidP="00392700">
      <w:pPr>
        <w:pStyle w:val="Title"/>
        <w:jc w:val="center"/>
        <w:rPr>
          <w:rFonts w:ascii="Arial" w:hAnsi="Arial" w:cs="Arial"/>
          <w:b/>
          <w:bCs/>
          <w:sz w:val="28"/>
          <w:szCs w:val="28"/>
        </w:rPr>
      </w:pPr>
      <w:r>
        <w:rPr>
          <w:rFonts w:ascii="Arial" w:hAnsi="Arial" w:cs="Arial"/>
          <w:b/>
          <w:bCs/>
          <w:sz w:val="28"/>
          <w:szCs w:val="28"/>
        </w:rPr>
        <w:t xml:space="preserve">An Improved </w:t>
      </w:r>
      <w:r w:rsidR="00392700" w:rsidRPr="00392700">
        <w:rPr>
          <w:rFonts w:ascii="Arial" w:hAnsi="Arial" w:cs="Arial"/>
          <w:b/>
          <w:bCs/>
          <w:sz w:val="28"/>
          <w:szCs w:val="28"/>
        </w:rPr>
        <w:t xml:space="preserve">Simplified Heat </w:t>
      </w:r>
      <w:r w:rsidR="00E969F8" w:rsidRPr="00392700">
        <w:rPr>
          <w:rFonts w:ascii="Arial" w:hAnsi="Arial" w:cs="Arial"/>
          <w:b/>
          <w:bCs/>
          <w:sz w:val="28"/>
          <w:szCs w:val="28"/>
        </w:rPr>
        <w:t>Stress</w:t>
      </w:r>
      <w:r w:rsidR="00392700" w:rsidRPr="00392700">
        <w:rPr>
          <w:rFonts w:ascii="Arial" w:hAnsi="Arial" w:cs="Arial"/>
          <w:b/>
          <w:bCs/>
          <w:sz w:val="28"/>
          <w:szCs w:val="28"/>
        </w:rPr>
        <w:t xml:space="preserve"> Management Approach for the Non-Technical User</w:t>
      </w:r>
    </w:p>
    <w:p w14:paraId="65EF891A" w14:textId="77777777" w:rsidR="00392700" w:rsidRPr="00392700" w:rsidRDefault="00392700" w:rsidP="00392700"/>
    <w:p w14:paraId="292B8BB0" w14:textId="241757BD" w:rsidR="00392700" w:rsidRPr="00392700" w:rsidRDefault="00392700" w:rsidP="00392700">
      <w:pPr>
        <w:jc w:val="center"/>
        <w:rPr>
          <w:rFonts w:ascii="Arial" w:hAnsi="Arial" w:cs="Arial"/>
          <w:b/>
          <w:bCs/>
          <w:u w:val="single"/>
        </w:rPr>
      </w:pPr>
      <w:r w:rsidRPr="00392700">
        <w:rPr>
          <w:rFonts w:ascii="Arial" w:hAnsi="Arial" w:cs="Arial"/>
          <w:b/>
          <w:bCs/>
          <w:u w:val="single"/>
        </w:rPr>
        <w:t>Dr Ross Di Corleto</w:t>
      </w:r>
    </w:p>
    <w:p w14:paraId="71B410ED" w14:textId="77777777" w:rsidR="00392700" w:rsidRDefault="00392700"/>
    <w:p w14:paraId="48C0E8A3" w14:textId="77777777" w:rsidR="00392700" w:rsidRPr="00392700" w:rsidRDefault="00392700" w:rsidP="00392700">
      <w:pPr>
        <w:pStyle w:val="Heading1"/>
        <w:rPr>
          <w:rFonts w:ascii="Arial" w:hAnsi="Arial" w:cs="Arial"/>
          <w:sz w:val="22"/>
          <w:szCs w:val="22"/>
        </w:rPr>
      </w:pPr>
      <w:r w:rsidRPr="00392700">
        <w:rPr>
          <w:rFonts w:ascii="Arial" w:hAnsi="Arial" w:cs="Arial"/>
          <w:sz w:val="22"/>
          <w:szCs w:val="22"/>
        </w:rPr>
        <w:t>Abstract</w:t>
      </w:r>
    </w:p>
    <w:p w14:paraId="37B3EBBD" w14:textId="47A89BB5" w:rsidR="000C1C15" w:rsidRDefault="00392700" w:rsidP="000C1C15">
      <w:r>
        <w:t xml:space="preserve">The National Weather Service Heat Index Chart has for many years been the </w:t>
      </w:r>
      <w:r w:rsidR="00642939">
        <w:t>go-to</w:t>
      </w:r>
      <w:r>
        <w:t xml:space="preserve"> in the management of heat stress in a number of countries.  It is simple to use, visually easy to interpret and requires limited technical knowledge. Regulators have also utilised it to assist them in their assessments of heat stress exposure scenarios. In 2016 and 2017 OSHA issued five citations to the United States Postal Service</w:t>
      </w:r>
      <w:r w:rsidR="000C1C15">
        <w:t xml:space="preserve"> (USPS) alleging violations across </w:t>
      </w:r>
      <w:r w:rsidR="00B0306B">
        <w:t>several</w:t>
      </w:r>
      <w:r w:rsidR="000C1C15">
        <w:t xml:space="preserve"> locations in the US</w:t>
      </w:r>
      <w:r w:rsidR="00A45301">
        <w:t>,</w:t>
      </w:r>
      <w:r w:rsidR="00DF669A">
        <w:t xml:space="preserve"> referencing the chart</w:t>
      </w:r>
      <w:r w:rsidR="000C1C15">
        <w:t xml:space="preserve">. In court, </w:t>
      </w:r>
      <w:r w:rsidR="00B0306B">
        <w:t>J</w:t>
      </w:r>
      <w:r w:rsidR="000C1C15">
        <w:t xml:space="preserve">udge </w:t>
      </w:r>
      <w:r w:rsidR="00B0306B">
        <w:t xml:space="preserve">Calhoun of the </w:t>
      </w:r>
      <w:r w:rsidR="00B0306B" w:rsidRPr="00B0306B">
        <w:t>Occupational Safety and Health Review Commission</w:t>
      </w:r>
      <w:r w:rsidR="00B0306B">
        <w:t xml:space="preserve"> </w:t>
      </w:r>
      <w:r w:rsidR="000C1C15">
        <w:t xml:space="preserve">found that </w:t>
      </w:r>
      <w:r w:rsidR="000C1C15" w:rsidRPr="000C1C15">
        <w:rPr>
          <w:i/>
          <w:iCs/>
        </w:rPr>
        <w:t>“no evidence was presented to establish the scientific basis for the risk categories depicted on the NWS heat index chart.”</w:t>
      </w:r>
      <w:r w:rsidR="00BA5C11">
        <w:rPr>
          <w:i/>
          <w:iCs/>
        </w:rPr>
        <w:t xml:space="preserve"> </w:t>
      </w:r>
      <w:r w:rsidR="000C1C15">
        <w:t xml:space="preserve"> Whilst not the only reason, this played a key role in the failure to prosecute. </w:t>
      </w:r>
    </w:p>
    <w:p w14:paraId="6EDA548F" w14:textId="7EABD9CB" w:rsidR="000C1C15" w:rsidRDefault="000C1C15" w:rsidP="000C1C15">
      <w:r>
        <w:t xml:space="preserve">A mining company in the WA Pilbara region was looking for a similar model but with a more substantive physiological </w:t>
      </w:r>
      <w:r w:rsidR="00642939">
        <w:t>risk-based</w:t>
      </w:r>
      <w:r>
        <w:t xml:space="preserve"> approach</w:t>
      </w:r>
      <w:r w:rsidR="00642939">
        <w:t xml:space="preserve"> to address this limitation</w:t>
      </w:r>
      <w:r>
        <w:t xml:space="preserve">. A project was set up to </w:t>
      </w:r>
      <w:r w:rsidR="00642939">
        <w:t xml:space="preserve">attempt to deliver a simple tool to meet this criterion. </w:t>
      </w:r>
      <w:r>
        <w:t xml:space="preserve">This project involved the utilisation of </w:t>
      </w:r>
      <w:r w:rsidR="00A45301">
        <w:t>a very large</w:t>
      </w:r>
      <w:r>
        <w:t xml:space="preserve"> data</w:t>
      </w:r>
      <w:r w:rsidR="00A45301">
        <w:t>set</w:t>
      </w:r>
      <w:r>
        <w:t xml:space="preserve"> </w:t>
      </w:r>
      <w:r w:rsidR="00642939">
        <w:t>comprising</w:t>
      </w:r>
      <w:r>
        <w:t xml:space="preserve"> location climate, workload, </w:t>
      </w:r>
      <w:r w:rsidR="00642939">
        <w:t xml:space="preserve">and </w:t>
      </w:r>
      <w:r>
        <w:t>clothing</w:t>
      </w:r>
      <w:r w:rsidR="00642939">
        <w:t xml:space="preserve">. This data was assessed by applying the ISO 7933 Predicted heat strain model to estimate the time the predicted core temperature reached </w:t>
      </w:r>
      <w:r w:rsidR="00F41151">
        <w:t xml:space="preserve">the WHO level of </w:t>
      </w:r>
      <w:r w:rsidR="00642939">
        <w:t>38</w:t>
      </w:r>
      <w:r w:rsidR="00F41151">
        <w:rPr>
          <w:rFonts w:cstheme="minorHAnsi"/>
        </w:rPr>
        <w:t>°</w:t>
      </w:r>
      <w:r w:rsidR="00642939">
        <w:t>C.</w:t>
      </w:r>
    </w:p>
    <w:p w14:paraId="31325750" w14:textId="51B5A95B" w:rsidR="00642939" w:rsidRDefault="00642939" w:rsidP="000C1C15">
      <w:r>
        <w:t xml:space="preserve">From this, a series of three coloured charts for low, </w:t>
      </w:r>
      <w:r w:rsidR="00DF669A">
        <w:t>moderate,</w:t>
      </w:r>
      <w:r>
        <w:t xml:space="preserve"> and high metabolic load tasks </w:t>
      </w:r>
      <w:r w:rsidR="00F41151">
        <w:t xml:space="preserve">at specific air temperatures and humidities </w:t>
      </w:r>
      <w:r>
        <w:t xml:space="preserve">was developed. This was further enhanced by linking the charts to a response plan to provide additional guidance in addressing each condition. To date the model has been used successfully </w:t>
      </w:r>
      <w:r w:rsidR="00AC6236">
        <w:t xml:space="preserve">for over 12 months including </w:t>
      </w:r>
      <w:r>
        <w:t>through a hot summer in the Pilbara</w:t>
      </w:r>
      <w:r w:rsidR="00AC6236">
        <w:t>,</w:t>
      </w:r>
      <w:r w:rsidR="00E969F8">
        <w:t xml:space="preserve"> requiring only limited technical support. This paper highlights the process taken to develop the </w:t>
      </w:r>
      <w:r w:rsidR="00F41151">
        <w:t xml:space="preserve">new </w:t>
      </w:r>
      <w:r w:rsidR="00E969F8">
        <w:t xml:space="preserve">charts, how they can be used, the benefits and </w:t>
      </w:r>
      <w:r w:rsidR="00F41151">
        <w:t xml:space="preserve">importantly, </w:t>
      </w:r>
      <w:r w:rsidR="00E969F8">
        <w:t>limitations.</w:t>
      </w:r>
    </w:p>
    <w:p w14:paraId="0CF5302A" w14:textId="48EAECE8" w:rsidR="00392700" w:rsidRDefault="00392700"/>
    <w:p w14:paraId="51D921D3" w14:textId="18760DC1" w:rsidR="0007234C" w:rsidRDefault="0007234C">
      <w:pPr>
        <w:rPr>
          <w:rFonts w:ascii="Times New Roman" w:hAnsi="Times New Roman" w:cs="Times New Roman"/>
          <w:color w:val="000000"/>
          <w:kern w:val="0"/>
          <w:sz w:val="24"/>
          <w:szCs w:val="24"/>
        </w:rPr>
      </w:pPr>
      <w:r>
        <w:br w:type="page"/>
      </w:r>
    </w:p>
    <w:p w14:paraId="3F8253C3" w14:textId="4CAF83BF" w:rsidR="0052271A" w:rsidRPr="006A4E47" w:rsidRDefault="0052271A" w:rsidP="0007234C">
      <w:pPr>
        <w:rPr>
          <w:b/>
          <w:bCs/>
        </w:rPr>
      </w:pPr>
      <w:r w:rsidRPr="006A4E47">
        <w:rPr>
          <w:b/>
          <w:bCs/>
        </w:rPr>
        <w:lastRenderedPageBreak/>
        <w:t>Introduction</w:t>
      </w:r>
    </w:p>
    <w:p w14:paraId="107B04E1" w14:textId="3AE56AB8" w:rsidR="00E04EBD" w:rsidRDefault="0007234C" w:rsidP="0007234C">
      <w:r>
        <w:t xml:space="preserve">The National Weather Service Heat Index Chart has for many years been the go-to in the management of heat stress in a number of countries.  It is simple to use, visually easy to interpret and requires limited technical knowledge. </w:t>
      </w:r>
      <w:r w:rsidR="0052271A">
        <w:t xml:space="preserve">Regulators have also utilised it to assist them in their assessments of heat stress exposure scenarios. </w:t>
      </w:r>
    </w:p>
    <w:p w14:paraId="1C02424E" w14:textId="5BA75F8E" w:rsidR="00E04EBD" w:rsidRDefault="00E04EBD" w:rsidP="001A5452">
      <w:pPr>
        <w:jc w:val="center"/>
      </w:pPr>
      <w:r>
        <w:rPr>
          <w:noProof/>
        </w:rPr>
        <w:drawing>
          <wp:inline distT="0" distB="0" distL="0" distR="0" wp14:anchorId="64F290E1" wp14:editId="6B3F28D6">
            <wp:extent cx="4724400" cy="2762094"/>
            <wp:effectExtent l="0" t="0" r="0" b="635"/>
            <wp:docPr id="519274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8434" cy="2776145"/>
                    </a:xfrm>
                    <a:prstGeom prst="rect">
                      <a:avLst/>
                    </a:prstGeom>
                    <a:noFill/>
                    <a:ln>
                      <a:noFill/>
                    </a:ln>
                  </pic:spPr>
                </pic:pic>
              </a:graphicData>
            </a:graphic>
          </wp:inline>
        </w:drawing>
      </w:r>
    </w:p>
    <w:p w14:paraId="176888E2" w14:textId="77777777" w:rsidR="00E04EBD" w:rsidRDefault="00E04EBD" w:rsidP="0007234C"/>
    <w:p w14:paraId="6ACC2BE6" w14:textId="0B6D9B3E" w:rsidR="00E04EBD" w:rsidRDefault="00E04EBD" w:rsidP="001A5452">
      <w:pPr>
        <w:jc w:val="center"/>
      </w:pPr>
      <w:r>
        <w:rPr>
          <w:noProof/>
        </w:rPr>
        <w:drawing>
          <wp:inline distT="0" distB="0" distL="0" distR="0" wp14:anchorId="06E94164" wp14:editId="466B57DF">
            <wp:extent cx="4752975" cy="1014733"/>
            <wp:effectExtent l="0" t="0" r="0" b="0"/>
            <wp:docPr id="254551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51837" name=""/>
                    <pic:cNvPicPr/>
                  </pic:nvPicPr>
                  <pic:blipFill>
                    <a:blip r:embed="rId9"/>
                    <a:stretch>
                      <a:fillRect/>
                    </a:stretch>
                  </pic:blipFill>
                  <pic:spPr>
                    <a:xfrm>
                      <a:off x="0" y="0"/>
                      <a:ext cx="4764980" cy="1017296"/>
                    </a:xfrm>
                    <a:prstGeom prst="rect">
                      <a:avLst/>
                    </a:prstGeom>
                  </pic:spPr>
                </pic:pic>
              </a:graphicData>
            </a:graphic>
          </wp:inline>
        </w:drawing>
      </w:r>
    </w:p>
    <w:p w14:paraId="247D0EC3" w14:textId="566D27AC" w:rsidR="00E04EBD" w:rsidRDefault="00E04EBD" w:rsidP="0007234C">
      <w:r>
        <w:t>(</w:t>
      </w:r>
      <w:r w:rsidR="0052271A">
        <w:t>Source</w:t>
      </w:r>
      <w:r w:rsidR="00EE3449">
        <w:t>: US National Weather Service</w:t>
      </w:r>
      <w:r w:rsidR="00EE3449">
        <w:rPr>
          <w:rStyle w:val="EndnoteReference"/>
        </w:rPr>
        <w:endnoteReference w:id="1"/>
      </w:r>
      <w:r w:rsidR="00EE3449">
        <w:t>)</w:t>
      </w:r>
    </w:p>
    <w:p w14:paraId="66AC9A7C" w14:textId="3061F768" w:rsidR="0007234C" w:rsidRDefault="006A4E47" w:rsidP="0007234C">
      <w:r>
        <w:t xml:space="preserve">The approach was first published in 1981 in the National Weather Digest in a paper by Quale and Doehring </w:t>
      </w:r>
      <w:r>
        <w:rPr>
          <w:rStyle w:val="EndnoteReference"/>
        </w:rPr>
        <w:endnoteReference w:id="2"/>
      </w:r>
      <w:r>
        <w:t xml:space="preserve"> </w:t>
      </w:r>
      <w:r w:rsidR="0007234C">
        <w:t xml:space="preserve">This was developed based </w:t>
      </w:r>
      <w:r w:rsidR="00DC2599">
        <w:t>on</w:t>
      </w:r>
      <w:r w:rsidR="0007234C">
        <w:t xml:space="preserve"> Steadman</w:t>
      </w:r>
      <w:r w:rsidR="00DC2599">
        <w:t>’s</w:t>
      </w:r>
      <w:r w:rsidR="00DC2599">
        <w:rPr>
          <w:rStyle w:val="EndnoteReference"/>
        </w:rPr>
        <w:endnoteReference w:id="3"/>
      </w:r>
      <w:r w:rsidR="0007234C">
        <w:t xml:space="preserve"> </w:t>
      </w:r>
      <w:r w:rsidR="00F043AB">
        <w:t xml:space="preserve">initial </w:t>
      </w:r>
      <w:r w:rsidR="00DC2599">
        <w:t>work</w:t>
      </w:r>
      <w:r w:rsidR="0007234C">
        <w:t xml:space="preserve"> </w:t>
      </w:r>
      <w:r w:rsidR="00DC2599">
        <w:t xml:space="preserve">on </w:t>
      </w:r>
      <w:r w:rsidR="0052271A">
        <w:t>A</w:t>
      </w:r>
      <w:r w:rsidR="00DC2599">
        <w:t xml:space="preserve">pparent </w:t>
      </w:r>
      <w:r w:rsidR="0052271A">
        <w:t>T</w:t>
      </w:r>
      <w:r w:rsidR="00DC2599">
        <w:t>emperature</w:t>
      </w:r>
      <w:r w:rsidR="0052271A">
        <w:t xml:space="preserve"> and was</w:t>
      </w:r>
      <w:r w:rsidR="0007234C">
        <w:t xml:space="preserve"> </w:t>
      </w:r>
      <w:r w:rsidR="0052271A">
        <w:t>p</w:t>
      </w:r>
      <w:r w:rsidR="00DC2599">
        <w:t xml:space="preserve">rimarily written as a guide based on </w:t>
      </w:r>
      <w:r w:rsidR="00E04EBD">
        <w:t>meteorological</w:t>
      </w:r>
      <w:r w:rsidR="00DC2599">
        <w:t xml:space="preserve"> data</w:t>
      </w:r>
      <w:r w:rsidR="0052271A">
        <w:t>.</w:t>
      </w:r>
      <w:r w:rsidR="00DC2599">
        <w:t xml:space="preserve"> </w:t>
      </w:r>
      <w:r w:rsidR="0052271A">
        <w:t>T</w:t>
      </w:r>
      <w:r w:rsidR="00DC2599">
        <w:t xml:space="preserve">here is </w:t>
      </w:r>
      <w:r>
        <w:t>limited</w:t>
      </w:r>
      <w:r w:rsidR="00DC2599">
        <w:t xml:space="preserve"> supporting material on the </w:t>
      </w:r>
      <w:r w:rsidR="00E04EBD">
        <w:t>physiological</w:t>
      </w:r>
      <w:r w:rsidR="00DC2599">
        <w:t xml:space="preserve"> basis of the </w:t>
      </w:r>
      <w:r w:rsidR="00E04EBD">
        <w:t>risk categorisation</w:t>
      </w:r>
      <w:r w:rsidR="0052271A">
        <w:t xml:space="preserve"> in the paper except for </w:t>
      </w:r>
      <w:r w:rsidR="00E04EBD">
        <w:t>a small table inserted into Steadman’s apparent temperature graph on the first page.</w:t>
      </w:r>
    </w:p>
    <w:p w14:paraId="3A7DD87B" w14:textId="05658469" w:rsidR="0007234C" w:rsidRDefault="0052271A" w:rsidP="0007234C">
      <w:r>
        <w:t xml:space="preserve">This </w:t>
      </w:r>
      <w:r w:rsidR="006A4E47">
        <w:t>shortcoming</w:t>
      </w:r>
      <w:r>
        <w:t xml:space="preserve"> was highlighted </w:t>
      </w:r>
      <w:r w:rsidR="0064157A">
        <w:t>in the US courts after</w:t>
      </w:r>
      <w:r w:rsidR="0007234C">
        <w:t xml:space="preserve"> OSHA issued five citations to the United States Postal Service (USPS) alleging violations across several locations in the US</w:t>
      </w:r>
      <w:r w:rsidR="0007234C">
        <w:rPr>
          <w:rStyle w:val="EndnoteReference"/>
        </w:rPr>
        <w:endnoteReference w:id="4"/>
      </w:r>
      <w:r w:rsidR="0007234C">
        <w:t xml:space="preserve">, referencing the chart. In court, Judge Calhoun of the </w:t>
      </w:r>
      <w:r w:rsidR="0007234C" w:rsidRPr="00B0306B">
        <w:t>Occupational Safety and Health Review Commission</w:t>
      </w:r>
      <w:r w:rsidR="0007234C">
        <w:t xml:space="preserve"> found that</w:t>
      </w:r>
      <w:r w:rsidR="0064157A">
        <w:t>,</w:t>
      </w:r>
      <w:r w:rsidR="0007234C">
        <w:t xml:space="preserve"> </w:t>
      </w:r>
      <w:r w:rsidR="0007234C" w:rsidRPr="000C1C15">
        <w:rPr>
          <w:i/>
          <w:iCs/>
        </w:rPr>
        <w:t>“no evidence was presented to establish the scientific basis for the risk categories depicted on the NWS heat index chart.”</w:t>
      </w:r>
      <w:r w:rsidR="0007234C">
        <w:rPr>
          <w:rStyle w:val="EndnoteReference"/>
          <w:i/>
          <w:iCs/>
        </w:rPr>
        <w:endnoteReference w:id="5"/>
      </w:r>
      <w:r w:rsidR="0007234C">
        <w:t xml:space="preserve"> Whilst not the only reason, this played a key role in the failure to prosecute. </w:t>
      </w:r>
    </w:p>
    <w:p w14:paraId="5CB11D80" w14:textId="2BC0C27E" w:rsidR="006A4E47" w:rsidRDefault="00BA5C11" w:rsidP="005B3E27">
      <w:pPr>
        <w:pStyle w:val="Default"/>
        <w:rPr>
          <w:rFonts w:asciiTheme="minorHAnsi" w:hAnsiTheme="minorHAnsi" w:cstheme="minorBidi"/>
          <w:color w:val="auto"/>
          <w:kern w:val="2"/>
          <w:sz w:val="22"/>
          <w:szCs w:val="22"/>
        </w:rPr>
      </w:pPr>
      <w:r w:rsidRPr="00BA5C11">
        <w:rPr>
          <w:rFonts w:asciiTheme="minorHAnsi" w:hAnsiTheme="minorHAnsi" w:cstheme="minorBidi"/>
          <w:color w:val="auto"/>
          <w:kern w:val="2"/>
          <w:sz w:val="22"/>
          <w:szCs w:val="22"/>
        </w:rPr>
        <w:t xml:space="preserve">In early 2021 </w:t>
      </w:r>
      <w:r>
        <w:rPr>
          <w:rFonts w:asciiTheme="minorHAnsi" w:hAnsiTheme="minorHAnsi" w:cstheme="minorBidi"/>
          <w:color w:val="auto"/>
          <w:kern w:val="2"/>
          <w:sz w:val="22"/>
          <w:szCs w:val="22"/>
        </w:rPr>
        <w:t xml:space="preserve">after a series of heat related incidents, a mining company </w:t>
      </w:r>
      <w:r w:rsidRPr="00BA5C11">
        <w:rPr>
          <w:rFonts w:asciiTheme="minorHAnsi" w:hAnsiTheme="minorHAnsi" w:cstheme="minorBidi"/>
          <w:color w:val="auto"/>
          <w:kern w:val="2"/>
          <w:sz w:val="22"/>
          <w:szCs w:val="22"/>
        </w:rPr>
        <w:t xml:space="preserve">in the WA </w:t>
      </w:r>
      <w:r>
        <w:rPr>
          <w:rFonts w:asciiTheme="minorHAnsi" w:hAnsiTheme="minorHAnsi" w:cstheme="minorBidi"/>
          <w:color w:val="auto"/>
          <w:kern w:val="2"/>
          <w:sz w:val="22"/>
          <w:szCs w:val="22"/>
        </w:rPr>
        <w:t xml:space="preserve">East </w:t>
      </w:r>
      <w:r w:rsidRPr="00BA5C11">
        <w:rPr>
          <w:rFonts w:asciiTheme="minorHAnsi" w:hAnsiTheme="minorHAnsi" w:cstheme="minorBidi"/>
          <w:color w:val="auto"/>
          <w:kern w:val="2"/>
          <w:sz w:val="22"/>
          <w:szCs w:val="22"/>
        </w:rPr>
        <w:t xml:space="preserve">Pilbara region was looking for a similar model but with a more substantive physiological risk-based approach to address this limitation. </w:t>
      </w:r>
      <w:r w:rsidR="004322E2">
        <w:rPr>
          <w:rFonts w:asciiTheme="minorHAnsi" w:hAnsiTheme="minorHAnsi" w:cstheme="minorBidi"/>
          <w:color w:val="auto"/>
          <w:kern w:val="2"/>
          <w:sz w:val="22"/>
          <w:szCs w:val="22"/>
        </w:rPr>
        <w:t xml:space="preserve">The key </w:t>
      </w:r>
      <w:r>
        <w:rPr>
          <w:rFonts w:asciiTheme="minorHAnsi" w:hAnsiTheme="minorHAnsi" w:cstheme="minorBidi"/>
          <w:color w:val="auto"/>
          <w:kern w:val="2"/>
          <w:sz w:val="22"/>
          <w:szCs w:val="22"/>
        </w:rPr>
        <w:t xml:space="preserve">requirement </w:t>
      </w:r>
      <w:r w:rsidR="004322E2">
        <w:rPr>
          <w:rFonts w:asciiTheme="minorHAnsi" w:hAnsiTheme="minorHAnsi" w:cstheme="minorBidi"/>
          <w:color w:val="auto"/>
          <w:kern w:val="2"/>
          <w:sz w:val="22"/>
          <w:szCs w:val="22"/>
        </w:rPr>
        <w:t xml:space="preserve">was </w:t>
      </w:r>
      <w:r w:rsidR="006A4E47">
        <w:rPr>
          <w:rFonts w:asciiTheme="minorHAnsi" w:hAnsiTheme="minorHAnsi" w:cstheme="minorBidi"/>
          <w:color w:val="auto"/>
          <w:kern w:val="2"/>
          <w:sz w:val="22"/>
          <w:szCs w:val="22"/>
        </w:rPr>
        <w:t xml:space="preserve">that the assessment process was to be simple, easy to use in the field for </w:t>
      </w:r>
      <w:r w:rsidR="00CA49CE">
        <w:rPr>
          <w:rFonts w:asciiTheme="minorHAnsi" w:hAnsiTheme="minorHAnsi" w:cstheme="minorBidi"/>
          <w:color w:val="auto"/>
          <w:kern w:val="2"/>
          <w:sz w:val="22"/>
          <w:szCs w:val="22"/>
        </w:rPr>
        <w:t>non-technical</w:t>
      </w:r>
      <w:r w:rsidR="006A4E47">
        <w:rPr>
          <w:rFonts w:asciiTheme="minorHAnsi" w:hAnsiTheme="minorHAnsi" w:cstheme="minorBidi"/>
          <w:color w:val="auto"/>
          <w:kern w:val="2"/>
          <w:sz w:val="22"/>
          <w:szCs w:val="22"/>
        </w:rPr>
        <w:t xml:space="preserve"> personnel and require minimal technical instrumentation. </w:t>
      </w:r>
      <w:r w:rsidRPr="00BA5C11">
        <w:rPr>
          <w:rFonts w:asciiTheme="minorHAnsi" w:hAnsiTheme="minorHAnsi" w:cstheme="minorBidi"/>
          <w:color w:val="auto"/>
          <w:kern w:val="2"/>
          <w:sz w:val="22"/>
          <w:szCs w:val="22"/>
        </w:rPr>
        <w:t>After some initial discussion</w:t>
      </w:r>
      <w:r w:rsidR="006A4E47">
        <w:rPr>
          <w:rFonts w:asciiTheme="minorHAnsi" w:hAnsiTheme="minorHAnsi" w:cstheme="minorBidi"/>
          <w:color w:val="auto"/>
          <w:kern w:val="2"/>
          <w:sz w:val="22"/>
          <w:szCs w:val="22"/>
        </w:rPr>
        <w:t>,</w:t>
      </w:r>
      <w:r w:rsidRPr="00BA5C11">
        <w:rPr>
          <w:rFonts w:asciiTheme="minorHAnsi" w:hAnsiTheme="minorHAnsi" w:cstheme="minorBidi"/>
          <w:color w:val="auto"/>
          <w:kern w:val="2"/>
          <w:sz w:val="22"/>
          <w:szCs w:val="22"/>
        </w:rPr>
        <w:t xml:space="preserve"> a project was set up to attempt to deliver a simple tool to meet this criterion along with </w:t>
      </w:r>
      <w:r w:rsidR="006A4E47">
        <w:rPr>
          <w:rFonts w:asciiTheme="minorHAnsi" w:hAnsiTheme="minorHAnsi" w:cstheme="minorBidi"/>
          <w:color w:val="auto"/>
          <w:kern w:val="2"/>
          <w:sz w:val="22"/>
          <w:szCs w:val="22"/>
        </w:rPr>
        <w:t xml:space="preserve">some supporting processes </w:t>
      </w:r>
      <w:r w:rsidRPr="00BA5C11">
        <w:rPr>
          <w:rFonts w:asciiTheme="minorHAnsi" w:hAnsiTheme="minorHAnsi" w:cstheme="minorBidi"/>
          <w:color w:val="auto"/>
          <w:kern w:val="2"/>
          <w:sz w:val="22"/>
          <w:szCs w:val="22"/>
        </w:rPr>
        <w:t>to be incorporated into an integrated heat management program.</w:t>
      </w:r>
    </w:p>
    <w:p w14:paraId="62F1E09E" w14:textId="11C59B15" w:rsidR="00BA5C11" w:rsidRDefault="006A4E47" w:rsidP="005B3E27">
      <w:pPr>
        <w:pStyle w:val="Default"/>
        <w:rPr>
          <w:rFonts w:asciiTheme="minorHAnsi" w:hAnsiTheme="minorHAnsi" w:cstheme="minorBidi"/>
          <w:b/>
          <w:bCs/>
          <w:color w:val="auto"/>
          <w:kern w:val="2"/>
          <w:sz w:val="22"/>
          <w:szCs w:val="22"/>
        </w:rPr>
      </w:pPr>
      <w:r w:rsidRPr="00CA49CE">
        <w:rPr>
          <w:rFonts w:asciiTheme="minorHAnsi" w:hAnsiTheme="minorHAnsi" w:cstheme="minorBidi"/>
          <w:b/>
          <w:bCs/>
          <w:color w:val="auto"/>
          <w:kern w:val="2"/>
          <w:sz w:val="22"/>
          <w:szCs w:val="22"/>
        </w:rPr>
        <w:lastRenderedPageBreak/>
        <w:t>Methodology</w:t>
      </w:r>
    </w:p>
    <w:p w14:paraId="7738D70F" w14:textId="77777777" w:rsidR="000D571D" w:rsidRPr="00CA49CE" w:rsidRDefault="000D571D" w:rsidP="005B3E27">
      <w:pPr>
        <w:pStyle w:val="Default"/>
        <w:rPr>
          <w:rFonts w:asciiTheme="minorHAnsi" w:hAnsiTheme="minorHAnsi" w:cstheme="minorBidi"/>
          <w:b/>
          <w:bCs/>
          <w:color w:val="auto"/>
          <w:kern w:val="2"/>
          <w:sz w:val="22"/>
          <w:szCs w:val="22"/>
        </w:rPr>
      </w:pPr>
    </w:p>
    <w:p w14:paraId="0D936D70" w14:textId="2436A574" w:rsidR="000C1C15" w:rsidRDefault="006A4E47" w:rsidP="005B3E27">
      <w:pPr>
        <w:pStyle w:val="Default"/>
        <w:rPr>
          <w:rFonts w:asciiTheme="minorHAnsi" w:hAnsiTheme="minorHAnsi" w:cstheme="minorBidi"/>
          <w:color w:val="auto"/>
          <w:kern w:val="2"/>
          <w:sz w:val="22"/>
          <w:szCs w:val="22"/>
        </w:rPr>
      </w:pPr>
      <w:r>
        <w:rPr>
          <w:rFonts w:asciiTheme="minorHAnsi" w:hAnsiTheme="minorHAnsi" w:cstheme="minorBidi"/>
          <w:color w:val="auto"/>
          <w:kern w:val="2"/>
          <w:sz w:val="22"/>
          <w:szCs w:val="22"/>
        </w:rPr>
        <w:t xml:space="preserve">The first </w:t>
      </w:r>
      <w:r w:rsidR="00510EAF">
        <w:rPr>
          <w:rFonts w:asciiTheme="minorHAnsi" w:hAnsiTheme="minorHAnsi" w:cstheme="minorBidi"/>
          <w:color w:val="auto"/>
          <w:kern w:val="2"/>
          <w:sz w:val="22"/>
          <w:szCs w:val="22"/>
        </w:rPr>
        <w:t>step</w:t>
      </w:r>
      <w:r w:rsidR="00FE56B2">
        <w:rPr>
          <w:rFonts w:asciiTheme="minorHAnsi" w:hAnsiTheme="minorHAnsi" w:cstheme="minorBidi"/>
          <w:color w:val="auto"/>
          <w:kern w:val="2"/>
          <w:sz w:val="22"/>
          <w:szCs w:val="22"/>
        </w:rPr>
        <w:t xml:space="preserve">, and a </w:t>
      </w:r>
      <w:r>
        <w:rPr>
          <w:rFonts w:asciiTheme="minorHAnsi" w:hAnsiTheme="minorHAnsi" w:cstheme="minorBidi"/>
          <w:color w:val="auto"/>
          <w:kern w:val="2"/>
          <w:sz w:val="22"/>
          <w:szCs w:val="22"/>
        </w:rPr>
        <w:t>key part of the program was to develop  reference tables based on a valid physiological base. ISO 7933 Predicted Heat Strain</w:t>
      </w:r>
      <w:r w:rsidR="00CF56EE">
        <w:rPr>
          <w:rFonts w:asciiTheme="minorHAnsi" w:hAnsiTheme="minorHAnsi" w:cstheme="minorBidi"/>
          <w:color w:val="auto"/>
          <w:kern w:val="2"/>
          <w:sz w:val="22"/>
          <w:szCs w:val="22"/>
        </w:rPr>
        <w:t xml:space="preserve"> (PHS)</w:t>
      </w:r>
      <w:r>
        <w:rPr>
          <w:rStyle w:val="EndnoteReference"/>
          <w:rFonts w:asciiTheme="minorHAnsi" w:hAnsiTheme="minorHAnsi" w:cstheme="minorBidi"/>
          <w:color w:val="auto"/>
          <w:kern w:val="2"/>
          <w:sz w:val="22"/>
          <w:szCs w:val="22"/>
        </w:rPr>
        <w:endnoteReference w:id="6"/>
      </w:r>
      <w:r>
        <w:rPr>
          <w:rFonts w:asciiTheme="minorHAnsi" w:hAnsiTheme="minorHAnsi" w:cstheme="minorBidi"/>
          <w:color w:val="auto"/>
          <w:kern w:val="2"/>
          <w:sz w:val="22"/>
          <w:szCs w:val="22"/>
        </w:rPr>
        <w:t xml:space="preserve"> was chosen as </w:t>
      </w:r>
      <w:r w:rsidR="00510EAF">
        <w:rPr>
          <w:rFonts w:asciiTheme="minorHAnsi" w:hAnsiTheme="minorHAnsi" w:cstheme="minorBidi"/>
          <w:color w:val="auto"/>
          <w:kern w:val="2"/>
          <w:sz w:val="22"/>
          <w:szCs w:val="22"/>
        </w:rPr>
        <w:t xml:space="preserve">the </w:t>
      </w:r>
      <w:r w:rsidR="00BE2B29">
        <w:rPr>
          <w:rFonts w:asciiTheme="minorHAnsi" w:hAnsiTheme="minorHAnsi" w:cstheme="minorBidi"/>
          <w:color w:val="auto"/>
          <w:kern w:val="2"/>
          <w:sz w:val="22"/>
          <w:szCs w:val="22"/>
        </w:rPr>
        <w:t>basis</w:t>
      </w:r>
      <w:r w:rsidR="00510EAF">
        <w:rPr>
          <w:rFonts w:asciiTheme="minorHAnsi" w:hAnsiTheme="minorHAnsi" w:cstheme="minorBidi"/>
          <w:color w:val="auto"/>
          <w:kern w:val="2"/>
          <w:sz w:val="22"/>
          <w:szCs w:val="22"/>
        </w:rPr>
        <w:t xml:space="preserve"> for this step as </w:t>
      </w:r>
      <w:r>
        <w:rPr>
          <w:rFonts w:asciiTheme="minorHAnsi" w:hAnsiTheme="minorHAnsi" w:cstheme="minorBidi"/>
          <w:color w:val="auto"/>
          <w:kern w:val="2"/>
          <w:sz w:val="22"/>
          <w:szCs w:val="22"/>
        </w:rPr>
        <w:t xml:space="preserve">it </w:t>
      </w:r>
      <w:r w:rsidR="00510EAF">
        <w:rPr>
          <w:rFonts w:asciiTheme="minorHAnsi" w:hAnsiTheme="minorHAnsi" w:cstheme="minorBidi"/>
          <w:color w:val="auto"/>
          <w:kern w:val="2"/>
          <w:sz w:val="22"/>
          <w:szCs w:val="22"/>
        </w:rPr>
        <w:t xml:space="preserve">is </w:t>
      </w:r>
      <w:r>
        <w:rPr>
          <w:rFonts w:asciiTheme="minorHAnsi" w:hAnsiTheme="minorHAnsi" w:cstheme="minorBidi"/>
          <w:color w:val="auto"/>
          <w:kern w:val="2"/>
          <w:sz w:val="22"/>
          <w:szCs w:val="22"/>
        </w:rPr>
        <w:t xml:space="preserve">a </w:t>
      </w:r>
      <w:r w:rsidR="00AD76EB">
        <w:rPr>
          <w:rFonts w:asciiTheme="minorHAnsi" w:hAnsiTheme="minorHAnsi" w:cstheme="minorBidi"/>
          <w:color w:val="auto"/>
          <w:kern w:val="2"/>
          <w:sz w:val="22"/>
          <w:szCs w:val="22"/>
        </w:rPr>
        <w:t xml:space="preserve">widely </w:t>
      </w:r>
      <w:r>
        <w:rPr>
          <w:rFonts w:asciiTheme="minorHAnsi" w:hAnsiTheme="minorHAnsi" w:cstheme="minorBidi"/>
          <w:color w:val="auto"/>
          <w:kern w:val="2"/>
          <w:sz w:val="22"/>
          <w:szCs w:val="22"/>
        </w:rPr>
        <w:t>recognised international standard</w:t>
      </w:r>
      <w:r w:rsidR="00CF56EE">
        <w:rPr>
          <w:rFonts w:asciiTheme="minorHAnsi" w:hAnsiTheme="minorHAnsi" w:cstheme="minorBidi"/>
          <w:color w:val="auto"/>
          <w:kern w:val="2"/>
          <w:sz w:val="22"/>
          <w:szCs w:val="22"/>
        </w:rPr>
        <w:t xml:space="preserve"> addressing the physiological criteria. There are a number of inputs required to undertake this assessment which initially proved to be quite daunting on this scale. Key inputs required were:</w:t>
      </w:r>
    </w:p>
    <w:p w14:paraId="697F7F3B" w14:textId="4A53876C" w:rsidR="00CF56EE" w:rsidRDefault="00CF56EE" w:rsidP="004A76A4">
      <w:pPr>
        <w:pStyle w:val="Default"/>
        <w:numPr>
          <w:ilvl w:val="0"/>
          <w:numId w:val="2"/>
        </w:numPr>
        <w:spacing w:before="240"/>
        <w:rPr>
          <w:rFonts w:asciiTheme="minorHAnsi" w:hAnsiTheme="minorHAnsi" w:cstheme="minorBidi"/>
          <w:color w:val="auto"/>
          <w:kern w:val="2"/>
          <w:sz w:val="22"/>
          <w:szCs w:val="22"/>
        </w:rPr>
      </w:pPr>
      <w:r>
        <w:rPr>
          <w:rFonts w:asciiTheme="minorHAnsi" w:hAnsiTheme="minorHAnsi" w:cstheme="minorBidi"/>
          <w:color w:val="auto"/>
          <w:kern w:val="2"/>
          <w:sz w:val="22"/>
          <w:szCs w:val="22"/>
        </w:rPr>
        <w:t>Dry bulb temperature</w:t>
      </w:r>
      <w:r w:rsidR="004A76A4">
        <w:rPr>
          <w:rFonts w:asciiTheme="minorHAnsi" w:hAnsiTheme="minorHAnsi" w:cstheme="minorBidi"/>
          <w:color w:val="auto"/>
          <w:kern w:val="2"/>
          <w:sz w:val="22"/>
          <w:szCs w:val="22"/>
        </w:rPr>
        <w:t xml:space="preserve"> (</w:t>
      </w:r>
      <w:r w:rsidR="004A76A4" w:rsidRPr="004868EE">
        <w:rPr>
          <w:rFonts w:asciiTheme="minorHAnsi" w:hAnsiTheme="minorHAnsi" w:cstheme="minorHAnsi"/>
          <w:szCs w:val="22"/>
        </w:rPr>
        <w:t>°C</w:t>
      </w:r>
      <w:r w:rsidR="004A76A4">
        <w:rPr>
          <w:rFonts w:asciiTheme="minorHAnsi" w:hAnsiTheme="minorHAnsi" w:cstheme="minorHAnsi"/>
          <w:szCs w:val="22"/>
        </w:rPr>
        <w:t>)</w:t>
      </w:r>
    </w:p>
    <w:p w14:paraId="60A35D3F" w14:textId="0ACE19FC" w:rsidR="00CF56EE" w:rsidRDefault="00CF56EE" w:rsidP="00CF56EE">
      <w:pPr>
        <w:pStyle w:val="Default"/>
        <w:numPr>
          <w:ilvl w:val="0"/>
          <w:numId w:val="2"/>
        </w:numPr>
        <w:rPr>
          <w:rFonts w:asciiTheme="minorHAnsi" w:hAnsiTheme="minorHAnsi" w:cstheme="minorBidi"/>
          <w:color w:val="auto"/>
          <w:kern w:val="2"/>
          <w:sz w:val="22"/>
          <w:szCs w:val="22"/>
        </w:rPr>
      </w:pPr>
      <w:r>
        <w:rPr>
          <w:rFonts w:asciiTheme="minorHAnsi" w:hAnsiTheme="minorHAnsi" w:cstheme="minorBidi"/>
          <w:color w:val="auto"/>
          <w:kern w:val="2"/>
          <w:sz w:val="22"/>
          <w:szCs w:val="22"/>
        </w:rPr>
        <w:t>Globe temperature</w:t>
      </w:r>
      <w:r w:rsidR="004A76A4">
        <w:rPr>
          <w:rFonts w:asciiTheme="minorHAnsi" w:hAnsiTheme="minorHAnsi" w:cstheme="minorBidi"/>
          <w:color w:val="auto"/>
          <w:kern w:val="2"/>
          <w:sz w:val="22"/>
          <w:szCs w:val="22"/>
        </w:rPr>
        <w:t xml:space="preserve"> (</w:t>
      </w:r>
      <w:r w:rsidR="004A76A4" w:rsidRPr="004868EE">
        <w:rPr>
          <w:rFonts w:asciiTheme="minorHAnsi" w:hAnsiTheme="minorHAnsi" w:cstheme="minorHAnsi"/>
          <w:szCs w:val="22"/>
        </w:rPr>
        <w:t>°C</w:t>
      </w:r>
      <w:r w:rsidR="004A76A4">
        <w:rPr>
          <w:rFonts w:asciiTheme="minorHAnsi" w:hAnsiTheme="minorHAnsi" w:cstheme="minorHAnsi"/>
          <w:szCs w:val="22"/>
        </w:rPr>
        <w:t>)</w:t>
      </w:r>
    </w:p>
    <w:p w14:paraId="729022EB" w14:textId="7CF7F716" w:rsidR="00CF56EE" w:rsidRDefault="00CF56EE" w:rsidP="00CF56EE">
      <w:pPr>
        <w:pStyle w:val="Default"/>
        <w:numPr>
          <w:ilvl w:val="0"/>
          <w:numId w:val="2"/>
        </w:numPr>
        <w:rPr>
          <w:rFonts w:asciiTheme="minorHAnsi" w:hAnsiTheme="minorHAnsi" w:cstheme="minorBidi"/>
          <w:color w:val="auto"/>
          <w:kern w:val="2"/>
          <w:sz w:val="22"/>
          <w:szCs w:val="22"/>
        </w:rPr>
      </w:pPr>
      <w:r>
        <w:rPr>
          <w:rFonts w:asciiTheme="minorHAnsi" w:hAnsiTheme="minorHAnsi" w:cstheme="minorBidi"/>
          <w:color w:val="auto"/>
          <w:kern w:val="2"/>
          <w:sz w:val="22"/>
          <w:szCs w:val="22"/>
        </w:rPr>
        <w:t>Relative Humidity</w:t>
      </w:r>
      <w:r w:rsidR="004A76A4">
        <w:rPr>
          <w:rFonts w:asciiTheme="minorHAnsi" w:hAnsiTheme="minorHAnsi" w:cstheme="minorBidi"/>
          <w:color w:val="auto"/>
          <w:kern w:val="2"/>
          <w:sz w:val="22"/>
          <w:szCs w:val="22"/>
        </w:rPr>
        <w:t xml:space="preserve"> (%)</w:t>
      </w:r>
    </w:p>
    <w:p w14:paraId="5CBD3CBE" w14:textId="16ACB2FF" w:rsidR="00CF56EE" w:rsidRDefault="00CF56EE" w:rsidP="00CF56EE">
      <w:pPr>
        <w:pStyle w:val="Default"/>
        <w:numPr>
          <w:ilvl w:val="0"/>
          <w:numId w:val="2"/>
        </w:numPr>
        <w:rPr>
          <w:rFonts w:asciiTheme="minorHAnsi" w:hAnsiTheme="minorHAnsi" w:cstheme="minorBidi"/>
          <w:color w:val="auto"/>
          <w:kern w:val="2"/>
          <w:sz w:val="22"/>
          <w:szCs w:val="22"/>
        </w:rPr>
      </w:pPr>
      <w:r>
        <w:rPr>
          <w:rFonts w:asciiTheme="minorHAnsi" w:hAnsiTheme="minorHAnsi" w:cstheme="minorBidi"/>
          <w:color w:val="auto"/>
          <w:kern w:val="2"/>
          <w:sz w:val="22"/>
          <w:szCs w:val="22"/>
        </w:rPr>
        <w:t>Air velocity</w:t>
      </w:r>
      <w:r w:rsidR="004A76A4">
        <w:rPr>
          <w:rFonts w:asciiTheme="minorHAnsi" w:hAnsiTheme="minorHAnsi" w:cstheme="minorBidi"/>
          <w:color w:val="auto"/>
          <w:kern w:val="2"/>
          <w:sz w:val="22"/>
          <w:szCs w:val="22"/>
        </w:rPr>
        <w:t xml:space="preserve"> (m/s)</w:t>
      </w:r>
    </w:p>
    <w:p w14:paraId="3ED6A5CA" w14:textId="438A86E1" w:rsidR="00CF56EE" w:rsidRDefault="00CF56EE" w:rsidP="00CF56EE">
      <w:pPr>
        <w:pStyle w:val="Default"/>
        <w:numPr>
          <w:ilvl w:val="0"/>
          <w:numId w:val="2"/>
        </w:numPr>
        <w:rPr>
          <w:rFonts w:asciiTheme="minorHAnsi" w:hAnsiTheme="minorHAnsi" w:cstheme="minorBidi"/>
          <w:color w:val="auto"/>
          <w:kern w:val="2"/>
          <w:sz w:val="22"/>
          <w:szCs w:val="22"/>
        </w:rPr>
      </w:pPr>
      <w:r>
        <w:rPr>
          <w:rFonts w:asciiTheme="minorHAnsi" w:hAnsiTheme="minorHAnsi" w:cstheme="minorBidi"/>
          <w:color w:val="auto"/>
          <w:kern w:val="2"/>
          <w:sz w:val="22"/>
          <w:szCs w:val="22"/>
        </w:rPr>
        <w:t>Clothing Insulation Factor (</w:t>
      </w:r>
      <w:proofErr w:type="spellStart"/>
      <w:r>
        <w:rPr>
          <w:rFonts w:asciiTheme="minorHAnsi" w:hAnsiTheme="minorHAnsi" w:cstheme="minorBidi"/>
          <w:color w:val="auto"/>
          <w:kern w:val="2"/>
          <w:sz w:val="22"/>
          <w:szCs w:val="22"/>
        </w:rPr>
        <w:t>clo</w:t>
      </w:r>
      <w:proofErr w:type="spellEnd"/>
      <w:r>
        <w:rPr>
          <w:rFonts w:asciiTheme="minorHAnsi" w:hAnsiTheme="minorHAnsi" w:cstheme="minorBidi"/>
          <w:color w:val="auto"/>
          <w:kern w:val="2"/>
          <w:sz w:val="22"/>
          <w:szCs w:val="22"/>
        </w:rPr>
        <w:t>)</w:t>
      </w:r>
    </w:p>
    <w:p w14:paraId="2BC63C9F" w14:textId="10A0BE6F" w:rsidR="00CF56EE" w:rsidRDefault="00CF56EE" w:rsidP="00CF56EE">
      <w:pPr>
        <w:pStyle w:val="Default"/>
        <w:numPr>
          <w:ilvl w:val="0"/>
          <w:numId w:val="2"/>
        </w:numPr>
        <w:rPr>
          <w:rFonts w:asciiTheme="minorHAnsi" w:hAnsiTheme="minorHAnsi" w:cstheme="minorBidi"/>
          <w:color w:val="auto"/>
          <w:kern w:val="2"/>
          <w:sz w:val="22"/>
          <w:szCs w:val="22"/>
        </w:rPr>
      </w:pPr>
      <w:r>
        <w:rPr>
          <w:rFonts w:asciiTheme="minorHAnsi" w:hAnsiTheme="minorHAnsi" w:cstheme="minorBidi"/>
          <w:color w:val="auto"/>
          <w:kern w:val="2"/>
          <w:sz w:val="22"/>
          <w:szCs w:val="22"/>
        </w:rPr>
        <w:t>Metabolic rate</w:t>
      </w:r>
      <w:r w:rsidR="004A76A4">
        <w:rPr>
          <w:rFonts w:asciiTheme="minorHAnsi" w:hAnsiTheme="minorHAnsi" w:cstheme="minorBidi"/>
          <w:color w:val="auto"/>
          <w:kern w:val="2"/>
          <w:sz w:val="22"/>
          <w:szCs w:val="22"/>
        </w:rPr>
        <w:t xml:space="preserve"> (w/m</w:t>
      </w:r>
      <w:r w:rsidR="004A76A4" w:rsidRPr="004A76A4">
        <w:rPr>
          <w:rFonts w:asciiTheme="minorHAnsi" w:hAnsiTheme="minorHAnsi" w:cstheme="minorBidi"/>
          <w:color w:val="auto"/>
          <w:kern w:val="2"/>
          <w:sz w:val="22"/>
          <w:szCs w:val="22"/>
          <w:vertAlign w:val="superscript"/>
        </w:rPr>
        <w:t>2</w:t>
      </w:r>
      <w:r w:rsidR="004A76A4">
        <w:rPr>
          <w:rFonts w:asciiTheme="minorHAnsi" w:hAnsiTheme="minorHAnsi" w:cstheme="minorBidi"/>
          <w:color w:val="auto"/>
          <w:kern w:val="2"/>
          <w:sz w:val="22"/>
          <w:szCs w:val="22"/>
        </w:rPr>
        <w:t>)</w:t>
      </w:r>
    </w:p>
    <w:p w14:paraId="485A28A6" w14:textId="271873E9" w:rsidR="00CF56EE" w:rsidRDefault="00CF56EE" w:rsidP="00CF56EE">
      <w:pPr>
        <w:pStyle w:val="Default"/>
        <w:numPr>
          <w:ilvl w:val="0"/>
          <w:numId w:val="2"/>
        </w:numPr>
        <w:rPr>
          <w:rFonts w:asciiTheme="minorHAnsi" w:hAnsiTheme="minorHAnsi" w:cstheme="minorBidi"/>
          <w:color w:val="auto"/>
          <w:kern w:val="2"/>
          <w:sz w:val="22"/>
          <w:szCs w:val="22"/>
        </w:rPr>
      </w:pPr>
      <w:r>
        <w:rPr>
          <w:rFonts w:asciiTheme="minorHAnsi" w:hAnsiTheme="minorHAnsi" w:cstheme="minorBidi"/>
          <w:color w:val="auto"/>
          <w:kern w:val="2"/>
          <w:sz w:val="22"/>
          <w:szCs w:val="22"/>
        </w:rPr>
        <w:t>Posture</w:t>
      </w:r>
    </w:p>
    <w:p w14:paraId="1E7FC7A9" w14:textId="79552D10" w:rsidR="00CF56EE" w:rsidRDefault="00CF56EE" w:rsidP="00CF56EE">
      <w:pPr>
        <w:pStyle w:val="Default"/>
        <w:numPr>
          <w:ilvl w:val="0"/>
          <w:numId w:val="2"/>
        </w:numPr>
        <w:rPr>
          <w:rFonts w:asciiTheme="minorHAnsi" w:hAnsiTheme="minorHAnsi" w:cstheme="minorBidi"/>
          <w:color w:val="auto"/>
          <w:kern w:val="2"/>
          <w:sz w:val="22"/>
          <w:szCs w:val="22"/>
        </w:rPr>
      </w:pPr>
      <w:r>
        <w:rPr>
          <w:rFonts w:asciiTheme="minorHAnsi" w:hAnsiTheme="minorHAnsi" w:cstheme="minorBidi"/>
          <w:color w:val="auto"/>
          <w:kern w:val="2"/>
          <w:sz w:val="22"/>
          <w:szCs w:val="22"/>
        </w:rPr>
        <w:t>Acclimatisation</w:t>
      </w:r>
    </w:p>
    <w:p w14:paraId="720B0C63" w14:textId="77777777" w:rsidR="00CF56EE" w:rsidRDefault="00CF56EE" w:rsidP="00CF56EE">
      <w:pPr>
        <w:pStyle w:val="Default"/>
        <w:ind w:left="720"/>
        <w:rPr>
          <w:rFonts w:asciiTheme="minorHAnsi" w:hAnsiTheme="minorHAnsi" w:cstheme="minorBidi"/>
          <w:color w:val="auto"/>
          <w:kern w:val="2"/>
          <w:sz w:val="22"/>
          <w:szCs w:val="22"/>
        </w:rPr>
      </w:pPr>
    </w:p>
    <w:p w14:paraId="3A90E369" w14:textId="737B4111" w:rsidR="00CF56EE" w:rsidRDefault="00AD76EB" w:rsidP="00CF56EE">
      <w:pPr>
        <w:pStyle w:val="Default"/>
        <w:ind w:left="-14"/>
        <w:rPr>
          <w:rFonts w:asciiTheme="minorHAnsi" w:hAnsiTheme="minorHAnsi" w:cstheme="minorBidi"/>
          <w:color w:val="auto"/>
          <w:kern w:val="2"/>
          <w:sz w:val="22"/>
          <w:szCs w:val="22"/>
        </w:rPr>
      </w:pPr>
      <w:r>
        <w:rPr>
          <w:rFonts w:asciiTheme="minorHAnsi" w:hAnsiTheme="minorHAnsi" w:cstheme="minorBidi"/>
          <w:color w:val="auto"/>
          <w:kern w:val="2"/>
          <w:sz w:val="22"/>
          <w:szCs w:val="22"/>
        </w:rPr>
        <w:t xml:space="preserve">The </w:t>
      </w:r>
      <w:r w:rsidR="002A56C3">
        <w:rPr>
          <w:rFonts w:asciiTheme="minorHAnsi" w:hAnsiTheme="minorHAnsi" w:cstheme="minorBidi"/>
          <w:color w:val="auto"/>
          <w:kern w:val="2"/>
          <w:sz w:val="22"/>
          <w:szCs w:val="22"/>
        </w:rPr>
        <w:t>e</w:t>
      </w:r>
      <w:r w:rsidR="00CF56EE">
        <w:rPr>
          <w:rFonts w:asciiTheme="minorHAnsi" w:hAnsiTheme="minorHAnsi" w:cstheme="minorBidi"/>
          <w:color w:val="auto"/>
          <w:kern w:val="2"/>
          <w:sz w:val="22"/>
          <w:szCs w:val="22"/>
        </w:rPr>
        <w:t xml:space="preserve">nvironmental parameters </w:t>
      </w:r>
      <w:r>
        <w:rPr>
          <w:rFonts w:asciiTheme="minorHAnsi" w:hAnsiTheme="minorHAnsi" w:cstheme="minorBidi"/>
          <w:color w:val="auto"/>
          <w:kern w:val="2"/>
          <w:sz w:val="22"/>
          <w:szCs w:val="22"/>
        </w:rPr>
        <w:t xml:space="preserve">that were required </w:t>
      </w:r>
      <w:r w:rsidR="00CF56EE">
        <w:rPr>
          <w:rFonts w:asciiTheme="minorHAnsi" w:hAnsiTheme="minorHAnsi" w:cstheme="minorBidi"/>
          <w:color w:val="auto"/>
          <w:kern w:val="2"/>
          <w:sz w:val="22"/>
          <w:szCs w:val="22"/>
        </w:rPr>
        <w:t>were obtained from an onsite weather station</w:t>
      </w:r>
      <w:r>
        <w:rPr>
          <w:rFonts w:asciiTheme="minorHAnsi" w:hAnsiTheme="minorHAnsi" w:cstheme="minorBidi"/>
          <w:color w:val="auto"/>
          <w:kern w:val="2"/>
          <w:sz w:val="22"/>
          <w:szCs w:val="22"/>
        </w:rPr>
        <w:t xml:space="preserve">, </w:t>
      </w:r>
      <w:r w:rsidR="004322E2">
        <w:rPr>
          <w:rFonts w:asciiTheme="minorHAnsi" w:hAnsiTheme="minorHAnsi" w:cstheme="minorBidi"/>
          <w:color w:val="auto"/>
          <w:kern w:val="2"/>
          <w:sz w:val="22"/>
          <w:szCs w:val="22"/>
        </w:rPr>
        <w:t xml:space="preserve"> which</w:t>
      </w:r>
      <w:r w:rsidR="00CF56EE">
        <w:rPr>
          <w:rFonts w:asciiTheme="minorHAnsi" w:hAnsiTheme="minorHAnsi" w:cstheme="minorBidi"/>
          <w:color w:val="auto"/>
          <w:kern w:val="2"/>
          <w:sz w:val="22"/>
          <w:szCs w:val="22"/>
        </w:rPr>
        <w:t xml:space="preserve"> provided </w:t>
      </w:r>
      <w:r w:rsidR="00CA49CE">
        <w:rPr>
          <w:rFonts w:asciiTheme="minorHAnsi" w:hAnsiTheme="minorHAnsi" w:cstheme="minorBidi"/>
          <w:color w:val="auto"/>
          <w:kern w:val="2"/>
          <w:sz w:val="22"/>
          <w:szCs w:val="22"/>
        </w:rPr>
        <w:t>real-time</w:t>
      </w:r>
      <w:r w:rsidR="00CF56EE">
        <w:rPr>
          <w:rFonts w:asciiTheme="minorHAnsi" w:hAnsiTheme="minorHAnsi" w:cstheme="minorBidi"/>
          <w:color w:val="auto"/>
          <w:kern w:val="2"/>
          <w:sz w:val="22"/>
          <w:szCs w:val="22"/>
        </w:rPr>
        <w:t xml:space="preserve"> monitoring results for </w:t>
      </w:r>
      <w:r w:rsidR="001B484F">
        <w:rPr>
          <w:rFonts w:asciiTheme="minorHAnsi" w:hAnsiTheme="minorHAnsi" w:cstheme="minorBidi"/>
          <w:color w:val="auto"/>
          <w:kern w:val="2"/>
          <w:sz w:val="22"/>
          <w:szCs w:val="22"/>
        </w:rPr>
        <w:t xml:space="preserve">inputs </w:t>
      </w:r>
      <w:r w:rsidR="00CF56EE">
        <w:rPr>
          <w:rFonts w:asciiTheme="minorHAnsi" w:hAnsiTheme="minorHAnsi" w:cstheme="minorBidi"/>
          <w:color w:val="auto"/>
          <w:kern w:val="2"/>
          <w:sz w:val="22"/>
          <w:szCs w:val="22"/>
        </w:rPr>
        <w:t xml:space="preserve">1, 3 &amp; 4. Globe temperature was not provided by the weather station however it did record </w:t>
      </w:r>
      <w:r w:rsidR="00A16727">
        <w:rPr>
          <w:rFonts w:asciiTheme="minorHAnsi" w:hAnsiTheme="minorHAnsi" w:cstheme="minorBidi"/>
          <w:color w:val="auto"/>
          <w:kern w:val="2"/>
          <w:sz w:val="22"/>
          <w:szCs w:val="22"/>
        </w:rPr>
        <w:t>s</w:t>
      </w:r>
      <w:r w:rsidR="00CF56EE" w:rsidRPr="00CF56EE">
        <w:rPr>
          <w:rFonts w:asciiTheme="minorHAnsi" w:hAnsiTheme="minorHAnsi" w:cstheme="minorBidi"/>
          <w:color w:val="auto"/>
          <w:kern w:val="2"/>
          <w:sz w:val="22"/>
          <w:szCs w:val="22"/>
        </w:rPr>
        <w:t xml:space="preserve">olar </w:t>
      </w:r>
      <w:r w:rsidR="00A16727">
        <w:rPr>
          <w:rFonts w:asciiTheme="minorHAnsi" w:hAnsiTheme="minorHAnsi" w:cstheme="minorBidi"/>
          <w:color w:val="auto"/>
          <w:kern w:val="2"/>
          <w:sz w:val="22"/>
          <w:szCs w:val="22"/>
        </w:rPr>
        <w:t>r</w:t>
      </w:r>
      <w:r w:rsidR="00CF56EE" w:rsidRPr="00CF56EE">
        <w:rPr>
          <w:rFonts w:asciiTheme="minorHAnsi" w:hAnsiTheme="minorHAnsi" w:cstheme="minorBidi"/>
          <w:color w:val="auto"/>
          <w:kern w:val="2"/>
          <w:sz w:val="22"/>
          <w:szCs w:val="22"/>
        </w:rPr>
        <w:t>ad</w:t>
      </w:r>
      <w:r w:rsidR="00CF56EE">
        <w:rPr>
          <w:rFonts w:asciiTheme="minorHAnsi" w:hAnsiTheme="minorHAnsi" w:cstheme="minorBidi"/>
          <w:color w:val="auto"/>
          <w:kern w:val="2"/>
          <w:sz w:val="22"/>
          <w:szCs w:val="22"/>
        </w:rPr>
        <w:t>iation (</w:t>
      </w:r>
      <w:r w:rsidR="00CF56EE" w:rsidRPr="00CF56EE">
        <w:rPr>
          <w:rFonts w:asciiTheme="minorHAnsi" w:hAnsiTheme="minorHAnsi" w:cstheme="minorBidi"/>
          <w:color w:val="auto"/>
          <w:kern w:val="2"/>
          <w:sz w:val="22"/>
          <w:szCs w:val="22"/>
        </w:rPr>
        <w:t>W/m</w:t>
      </w:r>
      <w:r w:rsidR="00CF56EE" w:rsidRPr="00CF56EE">
        <w:rPr>
          <w:rFonts w:asciiTheme="minorHAnsi" w:hAnsiTheme="minorHAnsi" w:cstheme="minorBidi"/>
          <w:color w:val="auto"/>
          <w:kern w:val="2"/>
          <w:sz w:val="22"/>
          <w:szCs w:val="22"/>
          <w:vertAlign w:val="superscript"/>
        </w:rPr>
        <w:t>2</w:t>
      </w:r>
      <w:r w:rsidR="00CF56EE">
        <w:rPr>
          <w:rFonts w:asciiTheme="minorHAnsi" w:hAnsiTheme="minorHAnsi" w:cstheme="minorBidi"/>
          <w:color w:val="auto"/>
          <w:kern w:val="2"/>
          <w:sz w:val="22"/>
          <w:szCs w:val="22"/>
        </w:rPr>
        <w:t xml:space="preserve">). </w:t>
      </w:r>
      <w:r w:rsidR="00467EE6">
        <w:rPr>
          <w:rFonts w:asciiTheme="minorHAnsi" w:hAnsiTheme="minorHAnsi" w:cstheme="minorBidi"/>
          <w:color w:val="auto"/>
          <w:kern w:val="2"/>
          <w:sz w:val="22"/>
          <w:szCs w:val="22"/>
        </w:rPr>
        <w:t>This was able to be utilised to calculate the globe temperature using the equation developed by Hajizadeh et al (2017)</w:t>
      </w:r>
      <w:r w:rsidR="00467EE6">
        <w:rPr>
          <w:rStyle w:val="EndnoteReference"/>
          <w:rFonts w:asciiTheme="minorHAnsi" w:hAnsiTheme="minorHAnsi" w:cstheme="minorBidi"/>
          <w:color w:val="auto"/>
          <w:kern w:val="2"/>
          <w:sz w:val="22"/>
          <w:szCs w:val="22"/>
        </w:rPr>
        <w:endnoteReference w:id="7"/>
      </w:r>
      <w:r w:rsidR="00467EE6">
        <w:rPr>
          <w:rFonts w:asciiTheme="minorHAnsi" w:hAnsiTheme="minorHAnsi" w:cstheme="minorBidi"/>
          <w:color w:val="auto"/>
          <w:kern w:val="2"/>
          <w:sz w:val="22"/>
          <w:szCs w:val="22"/>
        </w:rPr>
        <w:t>.</w:t>
      </w:r>
    </w:p>
    <w:p w14:paraId="43BC74A6" w14:textId="3EC04C73" w:rsidR="00467EE6" w:rsidRDefault="00467EE6" w:rsidP="00CF56EE">
      <w:pPr>
        <w:pStyle w:val="Default"/>
        <w:ind w:left="-14"/>
        <w:rPr>
          <w:rFonts w:asciiTheme="minorHAnsi" w:hAnsiTheme="minorHAnsi" w:cstheme="minorBidi"/>
          <w:color w:val="auto"/>
          <w:kern w:val="2"/>
          <w:sz w:val="22"/>
          <w:szCs w:val="22"/>
        </w:rPr>
      </w:pPr>
      <w:r>
        <w:rPr>
          <w:rFonts w:asciiTheme="minorHAnsi" w:hAnsiTheme="minorHAnsi" w:cstheme="minorBidi"/>
          <w:color w:val="auto"/>
          <w:kern w:val="2"/>
          <w:sz w:val="22"/>
          <w:szCs w:val="22"/>
        </w:rPr>
        <w:t xml:space="preserve">Clothing insulation factor was based on a standard cotton shirt and trousers ensemble commonly worn by the operators </w:t>
      </w:r>
      <w:r w:rsidR="00934E70">
        <w:rPr>
          <w:rFonts w:asciiTheme="minorHAnsi" w:hAnsiTheme="minorHAnsi" w:cstheme="minorBidi"/>
          <w:color w:val="auto"/>
          <w:kern w:val="2"/>
          <w:sz w:val="22"/>
          <w:szCs w:val="22"/>
        </w:rPr>
        <w:t xml:space="preserve">in the Pilbara </w:t>
      </w:r>
      <w:r>
        <w:rPr>
          <w:rFonts w:asciiTheme="minorHAnsi" w:hAnsiTheme="minorHAnsi" w:cstheme="minorBidi"/>
          <w:color w:val="auto"/>
          <w:kern w:val="2"/>
          <w:sz w:val="22"/>
          <w:szCs w:val="22"/>
        </w:rPr>
        <w:t>and referenced to ISO 9920</w:t>
      </w:r>
      <w:r>
        <w:rPr>
          <w:rStyle w:val="EndnoteReference"/>
          <w:rFonts w:asciiTheme="minorHAnsi" w:hAnsiTheme="minorHAnsi" w:cstheme="minorBidi"/>
          <w:color w:val="auto"/>
          <w:kern w:val="2"/>
          <w:sz w:val="22"/>
          <w:szCs w:val="22"/>
        </w:rPr>
        <w:endnoteReference w:id="8"/>
      </w:r>
      <w:r>
        <w:rPr>
          <w:rFonts w:asciiTheme="minorHAnsi" w:hAnsiTheme="minorHAnsi" w:cstheme="minorBidi"/>
          <w:color w:val="auto"/>
          <w:kern w:val="2"/>
          <w:sz w:val="22"/>
          <w:szCs w:val="22"/>
        </w:rPr>
        <w:t xml:space="preserve">. Metabolic rate was based on </w:t>
      </w:r>
      <w:r w:rsidR="0065388C">
        <w:rPr>
          <w:rFonts w:asciiTheme="minorHAnsi" w:hAnsiTheme="minorHAnsi" w:cstheme="minorBidi"/>
          <w:color w:val="auto"/>
          <w:kern w:val="2"/>
          <w:sz w:val="22"/>
          <w:szCs w:val="22"/>
        </w:rPr>
        <w:t>a job rates physical demand assessment previously undertaken for the company by a private consultant and referenced back to ISO 8996</w:t>
      </w:r>
      <w:r w:rsidR="0065388C">
        <w:rPr>
          <w:rStyle w:val="EndnoteReference"/>
          <w:rFonts w:asciiTheme="minorHAnsi" w:hAnsiTheme="minorHAnsi" w:cstheme="minorBidi"/>
          <w:color w:val="auto"/>
          <w:kern w:val="2"/>
          <w:sz w:val="22"/>
          <w:szCs w:val="22"/>
        </w:rPr>
        <w:endnoteReference w:id="9"/>
      </w:r>
      <w:r w:rsidR="0065388C">
        <w:rPr>
          <w:rFonts w:asciiTheme="minorHAnsi" w:hAnsiTheme="minorHAnsi" w:cstheme="minorBidi"/>
          <w:color w:val="auto"/>
          <w:kern w:val="2"/>
          <w:sz w:val="22"/>
          <w:szCs w:val="22"/>
        </w:rPr>
        <w:t>.</w:t>
      </w:r>
      <w:r w:rsidR="00301EE4">
        <w:rPr>
          <w:rFonts w:asciiTheme="minorHAnsi" w:hAnsiTheme="minorHAnsi" w:cstheme="minorBidi"/>
          <w:color w:val="auto"/>
          <w:kern w:val="2"/>
          <w:sz w:val="22"/>
          <w:szCs w:val="22"/>
        </w:rPr>
        <w:t xml:space="preserve"> </w:t>
      </w:r>
      <w:r w:rsidR="0064157A">
        <w:rPr>
          <w:rFonts w:asciiTheme="minorHAnsi" w:hAnsiTheme="minorHAnsi" w:cstheme="minorBidi"/>
          <w:color w:val="auto"/>
          <w:kern w:val="2"/>
          <w:sz w:val="22"/>
          <w:szCs w:val="22"/>
        </w:rPr>
        <w:t>An example from the standard is presented in Table 1.</w:t>
      </w:r>
    </w:p>
    <w:p w14:paraId="7C0DA8C6" w14:textId="45D1F07D" w:rsidR="0065388C" w:rsidRDefault="0065388C" w:rsidP="00CF56EE">
      <w:pPr>
        <w:pStyle w:val="Default"/>
        <w:ind w:left="-14"/>
        <w:rPr>
          <w:rFonts w:asciiTheme="minorHAnsi" w:hAnsiTheme="minorHAnsi" w:cstheme="minorBidi"/>
          <w:color w:val="auto"/>
          <w:kern w:val="2"/>
          <w:sz w:val="22"/>
          <w:szCs w:val="22"/>
        </w:rPr>
      </w:pPr>
      <w:r>
        <w:rPr>
          <w:rFonts w:asciiTheme="minorHAnsi" w:hAnsiTheme="minorHAnsi" w:cstheme="minorBidi"/>
          <w:color w:val="auto"/>
          <w:kern w:val="2"/>
          <w:sz w:val="22"/>
          <w:szCs w:val="22"/>
        </w:rPr>
        <w:t>Posture was assumed to be standing, as the majority of tasks undertaken in the work environment were in that position. Whilst it was acknowledged that acclimatisation is an important factor, to minimise complication it was decided to assume individuals would be acclimatised and that a separate process would be included in the overall program to address those deemed to be unacclimatised.</w:t>
      </w:r>
    </w:p>
    <w:p w14:paraId="073148BA" w14:textId="675ACAD9" w:rsidR="0065388C" w:rsidRDefault="0065388C" w:rsidP="00CF56EE">
      <w:pPr>
        <w:pStyle w:val="Default"/>
        <w:ind w:left="-14"/>
        <w:rPr>
          <w:rFonts w:asciiTheme="minorHAnsi" w:hAnsiTheme="minorHAnsi" w:cstheme="minorBidi"/>
          <w:color w:val="auto"/>
          <w:kern w:val="2"/>
          <w:sz w:val="22"/>
          <w:szCs w:val="22"/>
        </w:rPr>
      </w:pPr>
      <w:r>
        <w:rPr>
          <w:rFonts w:asciiTheme="minorHAnsi" w:hAnsiTheme="minorHAnsi" w:cstheme="minorBidi"/>
          <w:color w:val="auto"/>
          <w:kern w:val="2"/>
          <w:sz w:val="22"/>
          <w:szCs w:val="22"/>
        </w:rPr>
        <w:t xml:space="preserve">The </w:t>
      </w:r>
      <w:r w:rsidR="001B484F">
        <w:rPr>
          <w:rFonts w:asciiTheme="minorHAnsi" w:hAnsiTheme="minorHAnsi" w:cstheme="minorBidi"/>
          <w:color w:val="auto"/>
          <w:kern w:val="2"/>
          <w:sz w:val="22"/>
          <w:szCs w:val="22"/>
        </w:rPr>
        <w:t xml:space="preserve">environmental </w:t>
      </w:r>
      <w:r>
        <w:rPr>
          <w:rFonts w:asciiTheme="minorHAnsi" w:hAnsiTheme="minorHAnsi" w:cstheme="minorBidi"/>
          <w:color w:val="auto"/>
          <w:kern w:val="2"/>
          <w:sz w:val="22"/>
          <w:szCs w:val="22"/>
        </w:rPr>
        <w:t xml:space="preserve">data utilised was </w:t>
      </w:r>
      <w:r w:rsidR="00B76D43">
        <w:rPr>
          <w:rFonts w:asciiTheme="minorHAnsi" w:hAnsiTheme="minorHAnsi" w:cstheme="minorBidi"/>
          <w:color w:val="auto"/>
          <w:kern w:val="2"/>
          <w:sz w:val="22"/>
          <w:szCs w:val="22"/>
        </w:rPr>
        <w:t xml:space="preserve">for the months of December </w:t>
      </w:r>
      <w:r w:rsidR="00D331F9">
        <w:rPr>
          <w:rFonts w:asciiTheme="minorHAnsi" w:hAnsiTheme="minorHAnsi" w:cstheme="minorBidi"/>
          <w:color w:val="auto"/>
          <w:kern w:val="2"/>
          <w:sz w:val="22"/>
          <w:szCs w:val="22"/>
        </w:rPr>
        <w:t xml:space="preserve">2021 </w:t>
      </w:r>
      <w:r w:rsidR="00B76D43">
        <w:rPr>
          <w:rFonts w:asciiTheme="minorHAnsi" w:hAnsiTheme="minorHAnsi" w:cstheme="minorBidi"/>
          <w:color w:val="auto"/>
          <w:kern w:val="2"/>
          <w:sz w:val="22"/>
          <w:szCs w:val="22"/>
        </w:rPr>
        <w:t>and January 202</w:t>
      </w:r>
      <w:r w:rsidR="00D331F9">
        <w:rPr>
          <w:rFonts w:asciiTheme="minorHAnsi" w:hAnsiTheme="minorHAnsi" w:cstheme="minorBidi"/>
          <w:color w:val="auto"/>
          <w:kern w:val="2"/>
          <w:sz w:val="22"/>
          <w:szCs w:val="22"/>
        </w:rPr>
        <w:t>2</w:t>
      </w:r>
      <w:r w:rsidR="00B76D43">
        <w:rPr>
          <w:rFonts w:asciiTheme="minorHAnsi" w:hAnsiTheme="minorHAnsi" w:cstheme="minorBidi"/>
          <w:color w:val="auto"/>
          <w:kern w:val="2"/>
          <w:sz w:val="22"/>
          <w:szCs w:val="22"/>
        </w:rPr>
        <w:t xml:space="preserve"> </w:t>
      </w:r>
      <w:r w:rsidR="005439DD">
        <w:rPr>
          <w:rFonts w:asciiTheme="minorHAnsi" w:hAnsiTheme="minorHAnsi" w:cstheme="minorBidi"/>
          <w:color w:val="auto"/>
          <w:kern w:val="2"/>
          <w:sz w:val="22"/>
          <w:szCs w:val="22"/>
        </w:rPr>
        <w:t xml:space="preserve">as the meteorological station on site had only been recently set up. Whilst data was </w:t>
      </w:r>
      <w:r w:rsidR="001B484F">
        <w:rPr>
          <w:rFonts w:asciiTheme="minorHAnsi" w:hAnsiTheme="minorHAnsi" w:cstheme="minorBidi"/>
          <w:color w:val="auto"/>
          <w:kern w:val="2"/>
          <w:sz w:val="22"/>
          <w:szCs w:val="22"/>
        </w:rPr>
        <w:t xml:space="preserve">continually </w:t>
      </w:r>
      <w:r w:rsidR="005439DD">
        <w:rPr>
          <w:rFonts w:asciiTheme="minorHAnsi" w:hAnsiTheme="minorHAnsi" w:cstheme="minorBidi"/>
          <w:color w:val="auto"/>
          <w:kern w:val="2"/>
          <w:sz w:val="22"/>
          <w:szCs w:val="22"/>
        </w:rPr>
        <w:t xml:space="preserve">collected </w:t>
      </w:r>
      <w:r w:rsidR="001B484F">
        <w:rPr>
          <w:rFonts w:asciiTheme="minorHAnsi" w:hAnsiTheme="minorHAnsi" w:cstheme="minorBidi"/>
          <w:color w:val="auto"/>
          <w:kern w:val="2"/>
          <w:sz w:val="22"/>
          <w:szCs w:val="22"/>
        </w:rPr>
        <w:t xml:space="preserve">over a </w:t>
      </w:r>
      <w:r w:rsidR="00A16727">
        <w:rPr>
          <w:rFonts w:asciiTheme="minorHAnsi" w:hAnsiTheme="minorHAnsi" w:cstheme="minorBidi"/>
          <w:color w:val="auto"/>
          <w:kern w:val="2"/>
          <w:sz w:val="22"/>
          <w:szCs w:val="22"/>
        </w:rPr>
        <w:t>24-hour</w:t>
      </w:r>
      <w:r w:rsidR="001B484F">
        <w:rPr>
          <w:rFonts w:asciiTheme="minorHAnsi" w:hAnsiTheme="minorHAnsi" w:cstheme="minorBidi"/>
          <w:color w:val="auto"/>
          <w:kern w:val="2"/>
          <w:sz w:val="22"/>
          <w:szCs w:val="22"/>
        </w:rPr>
        <w:t xml:space="preserve"> period</w:t>
      </w:r>
      <w:r w:rsidR="005439DD">
        <w:rPr>
          <w:rFonts w:asciiTheme="minorHAnsi" w:hAnsiTheme="minorHAnsi" w:cstheme="minorBidi"/>
          <w:color w:val="auto"/>
          <w:kern w:val="2"/>
          <w:sz w:val="22"/>
          <w:szCs w:val="22"/>
        </w:rPr>
        <w:t xml:space="preserve">, only that </w:t>
      </w:r>
      <w:r>
        <w:rPr>
          <w:rFonts w:asciiTheme="minorHAnsi" w:hAnsiTheme="minorHAnsi" w:cstheme="minorBidi"/>
          <w:color w:val="auto"/>
          <w:kern w:val="2"/>
          <w:sz w:val="22"/>
          <w:szCs w:val="22"/>
        </w:rPr>
        <w:t xml:space="preserve">between the hours of 0600 hr and 1800hrs and recorded every </w:t>
      </w:r>
      <w:r w:rsidR="00B76D43">
        <w:rPr>
          <w:rFonts w:asciiTheme="minorHAnsi" w:hAnsiTheme="minorHAnsi" w:cstheme="minorBidi"/>
          <w:color w:val="auto"/>
          <w:kern w:val="2"/>
          <w:sz w:val="22"/>
          <w:szCs w:val="22"/>
        </w:rPr>
        <w:t>fifteen minutes</w:t>
      </w:r>
      <w:r w:rsidR="00CA49CE">
        <w:rPr>
          <w:rFonts w:asciiTheme="minorHAnsi" w:hAnsiTheme="minorHAnsi" w:cstheme="minorBidi"/>
          <w:color w:val="auto"/>
          <w:kern w:val="2"/>
          <w:sz w:val="22"/>
          <w:szCs w:val="22"/>
        </w:rPr>
        <w:t xml:space="preserve">, was used in the </w:t>
      </w:r>
      <w:r w:rsidR="003D0AF5">
        <w:rPr>
          <w:rFonts w:asciiTheme="minorHAnsi" w:hAnsiTheme="minorHAnsi" w:cstheme="minorBidi"/>
          <w:color w:val="auto"/>
          <w:kern w:val="2"/>
          <w:sz w:val="22"/>
          <w:szCs w:val="22"/>
        </w:rPr>
        <w:t>project</w:t>
      </w:r>
      <w:r w:rsidR="00B76D43">
        <w:rPr>
          <w:rFonts w:asciiTheme="minorHAnsi" w:hAnsiTheme="minorHAnsi" w:cstheme="minorBidi"/>
          <w:color w:val="auto"/>
          <w:kern w:val="2"/>
          <w:sz w:val="22"/>
          <w:szCs w:val="22"/>
        </w:rPr>
        <w:t xml:space="preserve">. </w:t>
      </w:r>
      <w:r w:rsidR="00F37BD7">
        <w:rPr>
          <w:rFonts w:asciiTheme="minorHAnsi" w:hAnsiTheme="minorHAnsi" w:cstheme="minorBidi"/>
          <w:color w:val="auto"/>
          <w:kern w:val="2"/>
          <w:sz w:val="22"/>
          <w:szCs w:val="22"/>
        </w:rPr>
        <w:t xml:space="preserve">The </w:t>
      </w:r>
      <w:r w:rsidR="00CA49CE">
        <w:rPr>
          <w:rFonts w:asciiTheme="minorHAnsi" w:hAnsiTheme="minorHAnsi" w:cstheme="minorBidi"/>
          <w:color w:val="auto"/>
          <w:kern w:val="2"/>
          <w:sz w:val="22"/>
          <w:szCs w:val="22"/>
        </w:rPr>
        <w:t>four</w:t>
      </w:r>
      <w:r w:rsidR="00B76D43">
        <w:rPr>
          <w:rFonts w:asciiTheme="minorHAnsi" w:hAnsiTheme="minorHAnsi" w:cstheme="minorBidi"/>
          <w:color w:val="auto"/>
          <w:kern w:val="2"/>
          <w:sz w:val="22"/>
          <w:szCs w:val="22"/>
        </w:rPr>
        <w:t xml:space="preserve"> specific </w:t>
      </w:r>
      <w:r w:rsidR="00F37BD7">
        <w:rPr>
          <w:rFonts w:asciiTheme="minorHAnsi" w:hAnsiTheme="minorHAnsi" w:cstheme="minorBidi"/>
          <w:color w:val="auto"/>
          <w:kern w:val="2"/>
          <w:sz w:val="22"/>
          <w:szCs w:val="22"/>
        </w:rPr>
        <w:t xml:space="preserve">environmental </w:t>
      </w:r>
      <w:r w:rsidR="00B76D43">
        <w:rPr>
          <w:rFonts w:asciiTheme="minorHAnsi" w:hAnsiTheme="minorHAnsi" w:cstheme="minorBidi"/>
          <w:color w:val="auto"/>
          <w:kern w:val="2"/>
          <w:sz w:val="22"/>
          <w:szCs w:val="22"/>
        </w:rPr>
        <w:t>parameters required, amounted to approximately 24,000 data points</w:t>
      </w:r>
      <w:r w:rsidR="00B62D73">
        <w:rPr>
          <w:rFonts w:asciiTheme="minorHAnsi" w:hAnsiTheme="minorHAnsi" w:cstheme="minorBidi"/>
          <w:color w:val="auto"/>
          <w:kern w:val="2"/>
          <w:sz w:val="22"/>
          <w:szCs w:val="22"/>
        </w:rPr>
        <w:t xml:space="preserve"> which would also require assessment against the varying metabolic loads of the different tasks. It became obvious very earl</w:t>
      </w:r>
      <w:r w:rsidR="005439DD">
        <w:rPr>
          <w:rFonts w:asciiTheme="minorHAnsi" w:hAnsiTheme="minorHAnsi" w:cstheme="minorBidi"/>
          <w:color w:val="auto"/>
          <w:kern w:val="2"/>
          <w:sz w:val="22"/>
          <w:szCs w:val="22"/>
        </w:rPr>
        <w:t>y</w:t>
      </w:r>
      <w:r w:rsidR="00B62D73">
        <w:rPr>
          <w:rFonts w:asciiTheme="minorHAnsi" w:hAnsiTheme="minorHAnsi" w:cstheme="minorBidi"/>
          <w:color w:val="auto"/>
          <w:kern w:val="2"/>
          <w:sz w:val="22"/>
          <w:szCs w:val="22"/>
        </w:rPr>
        <w:t xml:space="preserve"> in the project that it would be impractical to try to analyse this volume of data and condense it into one table.</w:t>
      </w:r>
    </w:p>
    <w:p w14:paraId="3421BFE1" w14:textId="77777777" w:rsidR="00701F6E" w:rsidRDefault="00701F6E" w:rsidP="00CF56EE">
      <w:pPr>
        <w:pStyle w:val="Default"/>
        <w:ind w:left="-14"/>
        <w:rPr>
          <w:rFonts w:asciiTheme="minorHAnsi" w:hAnsiTheme="minorHAnsi" w:cstheme="minorBidi"/>
          <w:color w:val="auto"/>
          <w:kern w:val="2"/>
          <w:sz w:val="22"/>
          <w:szCs w:val="22"/>
        </w:rPr>
      </w:pPr>
    </w:p>
    <w:p w14:paraId="3A144536" w14:textId="2A5483FA" w:rsidR="00B62D73" w:rsidRDefault="00A16727" w:rsidP="00CF56EE">
      <w:pPr>
        <w:pStyle w:val="Default"/>
        <w:ind w:left="-14"/>
        <w:rPr>
          <w:rFonts w:asciiTheme="minorHAnsi" w:hAnsiTheme="minorHAnsi" w:cstheme="minorBidi"/>
          <w:color w:val="auto"/>
          <w:kern w:val="2"/>
          <w:sz w:val="22"/>
          <w:szCs w:val="22"/>
        </w:rPr>
      </w:pPr>
      <w:r>
        <w:rPr>
          <w:rFonts w:asciiTheme="minorHAnsi" w:hAnsiTheme="minorHAnsi" w:cstheme="minorBidi"/>
          <w:color w:val="auto"/>
          <w:kern w:val="2"/>
          <w:sz w:val="22"/>
          <w:szCs w:val="22"/>
        </w:rPr>
        <w:t>Three</w:t>
      </w:r>
      <w:r w:rsidR="00B62D73">
        <w:rPr>
          <w:rFonts w:asciiTheme="minorHAnsi" w:hAnsiTheme="minorHAnsi" w:cstheme="minorBidi"/>
          <w:color w:val="auto"/>
          <w:kern w:val="2"/>
          <w:sz w:val="22"/>
          <w:szCs w:val="22"/>
        </w:rPr>
        <w:t xml:space="preserve"> key decisions were made at this point:</w:t>
      </w:r>
    </w:p>
    <w:p w14:paraId="5278EEE7" w14:textId="1E74A7A5" w:rsidR="00A16727" w:rsidRDefault="00A16727" w:rsidP="00B62D73">
      <w:pPr>
        <w:pStyle w:val="Default"/>
        <w:numPr>
          <w:ilvl w:val="0"/>
          <w:numId w:val="3"/>
        </w:numPr>
        <w:rPr>
          <w:rFonts w:asciiTheme="minorHAnsi" w:hAnsiTheme="minorHAnsi" w:cstheme="minorBidi"/>
          <w:color w:val="auto"/>
          <w:kern w:val="2"/>
          <w:sz w:val="22"/>
          <w:szCs w:val="22"/>
        </w:rPr>
      </w:pPr>
      <w:r>
        <w:rPr>
          <w:rFonts w:asciiTheme="minorHAnsi" w:hAnsiTheme="minorHAnsi" w:cstheme="minorBidi"/>
          <w:color w:val="auto"/>
          <w:kern w:val="2"/>
          <w:sz w:val="22"/>
          <w:szCs w:val="22"/>
        </w:rPr>
        <w:t xml:space="preserve">Data would be averaged hourly instead of 15 minutes for three key periods of the work shift, morning, midday and afternoon. </w:t>
      </w:r>
    </w:p>
    <w:p w14:paraId="0F8C1DC3" w14:textId="0757E856" w:rsidR="00B62D73" w:rsidRDefault="00B62D73" w:rsidP="00B62D73">
      <w:pPr>
        <w:pStyle w:val="Default"/>
        <w:numPr>
          <w:ilvl w:val="0"/>
          <w:numId w:val="3"/>
        </w:numPr>
        <w:rPr>
          <w:rFonts w:asciiTheme="minorHAnsi" w:hAnsiTheme="minorHAnsi" w:cstheme="minorBidi"/>
          <w:color w:val="auto"/>
          <w:kern w:val="2"/>
          <w:sz w:val="22"/>
          <w:szCs w:val="22"/>
        </w:rPr>
      </w:pPr>
      <w:r>
        <w:rPr>
          <w:rFonts w:asciiTheme="minorHAnsi" w:hAnsiTheme="minorHAnsi" w:cstheme="minorBidi"/>
          <w:color w:val="auto"/>
          <w:kern w:val="2"/>
          <w:sz w:val="22"/>
          <w:szCs w:val="22"/>
        </w:rPr>
        <w:t>Three tables would be developed rather than one, based on set metabolic loads.</w:t>
      </w:r>
    </w:p>
    <w:p w14:paraId="0EE1EFE4" w14:textId="0766653B" w:rsidR="00B62D73" w:rsidRDefault="00B62D73" w:rsidP="00B62D73">
      <w:pPr>
        <w:pStyle w:val="Default"/>
        <w:numPr>
          <w:ilvl w:val="1"/>
          <w:numId w:val="3"/>
        </w:numPr>
        <w:rPr>
          <w:rFonts w:asciiTheme="minorHAnsi" w:hAnsiTheme="minorHAnsi" w:cstheme="minorBidi"/>
          <w:color w:val="auto"/>
          <w:kern w:val="2"/>
          <w:sz w:val="22"/>
          <w:szCs w:val="22"/>
        </w:rPr>
      </w:pPr>
      <w:r>
        <w:rPr>
          <w:rFonts w:asciiTheme="minorHAnsi" w:hAnsiTheme="minorHAnsi" w:cstheme="minorBidi"/>
          <w:color w:val="auto"/>
          <w:kern w:val="2"/>
          <w:sz w:val="22"/>
          <w:szCs w:val="22"/>
        </w:rPr>
        <w:t>High workload (230 W/m</w:t>
      </w:r>
      <w:r w:rsidRPr="00B62D73">
        <w:rPr>
          <w:rFonts w:asciiTheme="minorHAnsi" w:hAnsiTheme="minorHAnsi" w:cstheme="minorBidi"/>
          <w:color w:val="auto"/>
          <w:kern w:val="2"/>
          <w:sz w:val="22"/>
          <w:szCs w:val="22"/>
          <w:vertAlign w:val="superscript"/>
        </w:rPr>
        <w:t>2</w:t>
      </w:r>
      <w:r>
        <w:rPr>
          <w:rFonts w:asciiTheme="minorHAnsi" w:hAnsiTheme="minorHAnsi" w:cstheme="minorBidi"/>
          <w:color w:val="auto"/>
          <w:kern w:val="2"/>
          <w:sz w:val="22"/>
          <w:szCs w:val="22"/>
        </w:rPr>
        <w:t>)</w:t>
      </w:r>
    </w:p>
    <w:p w14:paraId="6849E1BE" w14:textId="74219FDF" w:rsidR="00B62D73" w:rsidRDefault="00B62D73" w:rsidP="00B62D73">
      <w:pPr>
        <w:pStyle w:val="Default"/>
        <w:numPr>
          <w:ilvl w:val="1"/>
          <w:numId w:val="3"/>
        </w:numPr>
        <w:rPr>
          <w:rFonts w:asciiTheme="minorHAnsi" w:hAnsiTheme="minorHAnsi" w:cstheme="minorBidi"/>
          <w:color w:val="auto"/>
          <w:kern w:val="2"/>
          <w:sz w:val="22"/>
          <w:szCs w:val="22"/>
        </w:rPr>
      </w:pPr>
      <w:r>
        <w:rPr>
          <w:rFonts w:asciiTheme="minorHAnsi" w:hAnsiTheme="minorHAnsi" w:cstheme="minorBidi"/>
          <w:color w:val="auto"/>
          <w:kern w:val="2"/>
          <w:sz w:val="22"/>
          <w:szCs w:val="22"/>
        </w:rPr>
        <w:t>Medium workload (175 W/m</w:t>
      </w:r>
      <w:r w:rsidRPr="00B62D73">
        <w:rPr>
          <w:rFonts w:asciiTheme="minorHAnsi" w:hAnsiTheme="minorHAnsi" w:cstheme="minorBidi"/>
          <w:color w:val="auto"/>
          <w:kern w:val="2"/>
          <w:sz w:val="22"/>
          <w:szCs w:val="22"/>
          <w:vertAlign w:val="superscript"/>
        </w:rPr>
        <w:t>2</w:t>
      </w:r>
      <w:r>
        <w:rPr>
          <w:rFonts w:asciiTheme="minorHAnsi" w:hAnsiTheme="minorHAnsi" w:cstheme="minorBidi"/>
          <w:color w:val="auto"/>
          <w:kern w:val="2"/>
          <w:sz w:val="22"/>
          <w:szCs w:val="22"/>
        </w:rPr>
        <w:t>)</w:t>
      </w:r>
    </w:p>
    <w:p w14:paraId="7EC83ABB" w14:textId="66E823BF" w:rsidR="00B62D73" w:rsidRDefault="00B62D73" w:rsidP="00B62D73">
      <w:pPr>
        <w:pStyle w:val="Default"/>
        <w:numPr>
          <w:ilvl w:val="1"/>
          <w:numId w:val="3"/>
        </w:numPr>
        <w:rPr>
          <w:rFonts w:asciiTheme="minorHAnsi" w:hAnsiTheme="minorHAnsi" w:cstheme="minorBidi"/>
          <w:color w:val="auto"/>
          <w:kern w:val="2"/>
          <w:sz w:val="22"/>
          <w:szCs w:val="22"/>
        </w:rPr>
      </w:pPr>
      <w:r>
        <w:rPr>
          <w:rFonts w:asciiTheme="minorHAnsi" w:hAnsiTheme="minorHAnsi" w:cstheme="minorBidi"/>
          <w:color w:val="auto"/>
          <w:kern w:val="2"/>
          <w:sz w:val="22"/>
          <w:szCs w:val="22"/>
        </w:rPr>
        <w:t>Low Workload (115 W/m</w:t>
      </w:r>
      <w:r w:rsidRPr="00B62D73">
        <w:rPr>
          <w:rFonts w:asciiTheme="minorHAnsi" w:hAnsiTheme="minorHAnsi" w:cstheme="minorBidi"/>
          <w:color w:val="auto"/>
          <w:kern w:val="2"/>
          <w:sz w:val="22"/>
          <w:szCs w:val="22"/>
          <w:vertAlign w:val="superscript"/>
        </w:rPr>
        <w:t>2</w:t>
      </w:r>
      <w:r>
        <w:rPr>
          <w:rFonts w:asciiTheme="minorHAnsi" w:hAnsiTheme="minorHAnsi" w:cstheme="minorBidi"/>
          <w:color w:val="auto"/>
          <w:kern w:val="2"/>
          <w:sz w:val="22"/>
          <w:szCs w:val="22"/>
        </w:rPr>
        <w:t>)</w:t>
      </w:r>
    </w:p>
    <w:p w14:paraId="6CD7EB7F" w14:textId="77750CE2" w:rsidR="00B62D73" w:rsidRDefault="00B62D73" w:rsidP="00B62D73">
      <w:pPr>
        <w:pStyle w:val="Default"/>
        <w:numPr>
          <w:ilvl w:val="0"/>
          <w:numId w:val="3"/>
        </w:numPr>
        <w:rPr>
          <w:rFonts w:asciiTheme="minorHAnsi" w:hAnsiTheme="minorHAnsi" w:cstheme="minorBidi"/>
          <w:color w:val="auto"/>
          <w:kern w:val="2"/>
          <w:sz w:val="22"/>
          <w:szCs w:val="22"/>
        </w:rPr>
      </w:pPr>
      <w:r>
        <w:rPr>
          <w:rFonts w:asciiTheme="minorHAnsi" w:hAnsiTheme="minorHAnsi" w:cstheme="minorBidi"/>
          <w:color w:val="auto"/>
          <w:kern w:val="2"/>
          <w:sz w:val="22"/>
          <w:szCs w:val="22"/>
        </w:rPr>
        <w:t>Instead of using all the varying air velocities</w:t>
      </w:r>
      <w:r w:rsidR="004A76A4">
        <w:rPr>
          <w:rFonts w:asciiTheme="minorHAnsi" w:hAnsiTheme="minorHAnsi" w:cstheme="minorBidi"/>
          <w:color w:val="auto"/>
          <w:kern w:val="2"/>
          <w:sz w:val="22"/>
          <w:szCs w:val="22"/>
        </w:rPr>
        <w:t>,</w:t>
      </w:r>
      <w:r>
        <w:rPr>
          <w:rFonts w:asciiTheme="minorHAnsi" w:hAnsiTheme="minorHAnsi" w:cstheme="minorBidi"/>
          <w:color w:val="auto"/>
          <w:kern w:val="2"/>
          <w:sz w:val="22"/>
          <w:szCs w:val="22"/>
        </w:rPr>
        <w:t xml:space="preserve"> </w:t>
      </w:r>
      <w:r w:rsidR="005439DD">
        <w:rPr>
          <w:rFonts w:asciiTheme="minorHAnsi" w:hAnsiTheme="minorHAnsi" w:cstheme="minorBidi"/>
          <w:color w:val="auto"/>
          <w:kern w:val="2"/>
          <w:sz w:val="22"/>
          <w:szCs w:val="22"/>
        </w:rPr>
        <w:t xml:space="preserve">one based </w:t>
      </w:r>
      <w:r>
        <w:rPr>
          <w:rFonts w:asciiTheme="minorHAnsi" w:hAnsiTheme="minorHAnsi" w:cstheme="minorBidi"/>
          <w:color w:val="auto"/>
          <w:kern w:val="2"/>
          <w:sz w:val="22"/>
          <w:szCs w:val="22"/>
        </w:rPr>
        <w:t xml:space="preserve">on the average air velocity </w:t>
      </w:r>
      <w:r w:rsidR="004A76A4">
        <w:rPr>
          <w:rFonts w:asciiTheme="minorHAnsi" w:hAnsiTheme="minorHAnsi" w:cstheme="minorBidi"/>
          <w:color w:val="auto"/>
          <w:kern w:val="2"/>
          <w:sz w:val="22"/>
          <w:szCs w:val="22"/>
        </w:rPr>
        <w:t xml:space="preserve">during the </w:t>
      </w:r>
      <w:r w:rsidR="00394357">
        <w:rPr>
          <w:rFonts w:asciiTheme="minorHAnsi" w:hAnsiTheme="minorHAnsi" w:cstheme="minorBidi"/>
          <w:color w:val="auto"/>
          <w:kern w:val="2"/>
          <w:sz w:val="22"/>
          <w:szCs w:val="22"/>
        </w:rPr>
        <w:t>12-hour</w:t>
      </w:r>
      <w:r w:rsidR="004A76A4">
        <w:rPr>
          <w:rFonts w:asciiTheme="minorHAnsi" w:hAnsiTheme="minorHAnsi" w:cstheme="minorBidi"/>
          <w:color w:val="auto"/>
          <w:kern w:val="2"/>
          <w:sz w:val="22"/>
          <w:szCs w:val="22"/>
        </w:rPr>
        <w:t xml:space="preserve"> period </w:t>
      </w:r>
      <w:r>
        <w:rPr>
          <w:rFonts w:asciiTheme="minorHAnsi" w:hAnsiTheme="minorHAnsi" w:cstheme="minorBidi"/>
          <w:color w:val="auto"/>
          <w:kern w:val="2"/>
          <w:sz w:val="22"/>
          <w:szCs w:val="22"/>
        </w:rPr>
        <w:t xml:space="preserve">for the </w:t>
      </w:r>
      <w:r w:rsidR="004A76A4">
        <w:rPr>
          <w:rFonts w:asciiTheme="minorHAnsi" w:hAnsiTheme="minorHAnsi" w:cstheme="minorBidi"/>
          <w:color w:val="auto"/>
          <w:kern w:val="2"/>
          <w:sz w:val="22"/>
          <w:szCs w:val="22"/>
        </w:rPr>
        <w:t xml:space="preserve">two </w:t>
      </w:r>
      <w:r>
        <w:rPr>
          <w:rFonts w:asciiTheme="minorHAnsi" w:hAnsiTheme="minorHAnsi" w:cstheme="minorBidi"/>
          <w:color w:val="auto"/>
          <w:kern w:val="2"/>
          <w:sz w:val="22"/>
          <w:szCs w:val="22"/>
        </w:rPr>
        <w:t>months</w:t>
      </w:r>
      <w:r w:rsidR="005439DD">
        <w:rPr>
          <w:rFonts w:asciiTheme="minorHAnsi" w:hAnsiTheme="minorHAnsi" w:cstheme="minorBidi"/>
          <w:color w:val="auto"/>
          <w:kern w:val="2"/>
          <w:sz w:val="22"/>
          <w:szCs w:val="22"/>
        </w:rPr>
        <w:t xml:space="preserve"> would be calculated</w:t>
      </w:r>
      <w:r>
        <w:rPr>
          <w:rFonts w:asciiTheme="minorHAnsi" w:hAnsiTheme="minorHAnsi" w:cstheme="minorBidi"/>
          <w:color w:val="auto"/>
          <w:kern w:val="2"/>
          <w:sz w:val="22"/>
          <w:szCs w:val="22"/>
        </w:rPr>
        <w:t>.</w:t>
      </w:r>
      <w:r w:rsidR="005439DD">
        <w:rPr>
          <w:rFonts w:asciiTheme="minorHAnsi" w:hAnsiTheme="minorHAnsi" w:cstheme="minorBidi"/>
          <w:color w:val="auto"/>
          <w:kern w:val="2"/>
          <w:sz w:val="22"/>
          <w:szCs w:val="22"/>
        </w:rPr>
        <w:t xml:space="preserve"> </w:t>
      </w:r>
    </w:p>
    <w:p w14:paraId="37F2B678" w14:textId="77777777" w:rsidR="00934E70" w:rsidRDefault="00934E70" w:rsidP="00934E70">
      <w:pPr>
        <w:pStyle w:val="Default"/>
        <w:ind w:left="706"/>
        <w:rPr>
          <w:rFonts w:asciiTheme="minorHAnsi" w:hAnsiTheme="minorHAnsi" w:cstheme="minorBidi"/>
          <w:color w:val="auto"/>
          <w:kern w:val="2"/>
          <w:sz w:val="22"/>
          <w:szCs w:val="22"/>
        </w:rPr>
      </w:pPr>
    </w:p>
    <w:p w14:paraId="4AD69D4F" w14:textId="77777777" w:rsidR="000D571D" w:rsidRDefault="000D571D" w:rsidP="00934E70">
      <w:pPr>
        <w:pStyle w:val="Default"/>
        <w:ind w:left="706"/>
        <w:rPr>
          <w:rFonts w:asciiTheme="minorHAnsi" w:hAnsiTheme="minorHAnsi" w:cstheme="minorBidi"/>
          <w:color w:val="auto"/>
          <w:kern w:val="2"/>
          <w:sz w:val="22"/>
          <w:szCs w:val="22"/>
        </w:rPr>
      </w:pPr>
    </w:p>
    <w:p w14:paraId="2A43BA02" w14:textId="77777777" w:rsidR="000D571D" w:rsidRDefault="000D571D" w:rsidP="00934E70">
      <w:pPr>
        <w:pStyle w:val="Default"/>
        <w:ind w:left="706"/>
        <w:rPr>
          <w:rFonts w:asciiTheme="minorHAnsi" w:hAnsiTheme="minorHAnsi" w:cstheme="minorBidi"/>
          <w:color w:val="auto"/>
          <w:kern w:val="2"/>
          <w:sz w:val="22"/>
          <w:szCs w:val="22"/>
        </w:rPr>
      </w:pPr>
    </w:p>
    <w:p w14:paraId="56549822" w14:textId="77777777" w:rsidR="000D571D" w:rsidRDefault="000D571D" w:rsidP="00934E70">
      <w:pPr>
        <w:pStyle w:val="Default"/>
        <w:ind w:left="706"/>
        <w:rPr>
          <w:rFonts w:asciiTheme="minorHAnsi" w:hAnsiTheme="minorHAnsi" w:cstheme="minorBidi"/>
          <w:color w:val="auto"/>
          <w:kern w:val="2"/>
          <w:sz w:val="22"/>
          <w:szCs w:val="22"/>
        </w:rPr>
      </w:pPr>
    </w:p>
    <w:p w14:paraId="4198466A" w14:textId="77777777" w:rsidR="000D571D" w:rsidRDefault="000D571D" w:rsidP="00934E70">
      <w:pPr>
        <w:pStyle w:val="Default"/>
        <w:ind w:left="706"/>
        <w:rPr>
          <w:rFonts w:asciiTheme="minorHAnsi" w:hAnsiTheme="minorHAnsi" w:cstheme="minorBidi"/>
          <w:color w:val="auto"/>
          <w:kern w:val="2"/>
          <w:sz w:val="22"/>
          <w:szCs w:val="22"/>
        </w:rPr>
      </w:pPr>
    </w:p>
    <w:p w14:paraId="5B794EFD" w14:textId="1C76FD5A" w:rsidR="000D571D" w:rsidRDefault="000D571D" w:rsidP="000D571D">
      <w:pPr>
        <w:pStyle w:val="Default"/>
        <w:rPr>
          <w:rFonts w:asciiTheme="minorHAnsi" w:hAnsiTheme="minorHAnsi" w:cstheme="minorBidi"/>
          <w:color w:val="auto"/>
          <w:kern w:val="2"/>
          <w:sz w:val="22"/>
          <w:szCs w:val="22"/>
        </w:rPr>
      </w:pPr>
    </w:p>
    <w:p w14:paraId="754EF407" w14:textId="7C82E7C6" w:rsidR="00934E70" w:rsidRPr="00934E70" w:rsidRDefault="00934E70" w:rsidP="00934E70">
      <w:pPr>
        <w:rPr>
          <w:rFonts w:cstheme="minorHAnsi"/>
        </w:rPr>
      </w:pPr>
      <w:r w:rsidRPr="00934E70">
        <w:rPr>
          <w:rFonts w:cstheme="minorHAnsi"/>
        </w:rPr>
        <w:lastRenderedPageBreak/>
        <w:t>Table 1. Examples of metabolic workloads (ISO 8996</w:t>
      </w:r>
      <w:r w:rsidR="00F37BD7">
        <w:rPr>
          <w:rFonts w:cstheme="minorHAnsi"/>
        </w:rPr>
        <w:t>,</w:t>
      </w:r>
      <w:r w:rsidRPr="00934E70">
        <w:rPr>
          <w:rFonts w:cstheme="minorHAnsi"/>
        </w:rPr>
        <w:t>2004).</w:t>
      </w:r>
    </w:p>
    <w:tbl>
      <w:tblPr>
        <w:tblStyle w:val="TableGrid"/>
        <w:tblW w:w="0" w:type="auto"/>
        <w:tblLook w:val="04A0" w:firstRow="1" w:lastRow="0" w:firstColumn="1" w:lastColumn="0" w:noHBand="0" w:noVBand="1"/>
      </w:tblPr>
      <w:tblGrid>
        <w:gridCol w:w="2263"/>
        <w:gridCol w:w="6753"/>
      </w:tblGrid>
      <w:tr w:rsidR="00934E70" w:rsidRPr="004868EE" w14:paraId="41CBF635" w14:textId="77777777" w:rsidTr="00002A54">
        <w:tc>
          <w:tcPr>
            <w:tcW w:w="2263" w:type="dxa"/>
          </w:tcPr>
          <w:p w14:paraId="70F4B9F5" w14:textId="77777777" w:rsidR="00934E70" w:rsidRPr="004868EE" w:rsidRDefault="00934E70" w:rsidP="00002A54">
            <w:pPr>
              <w:rPr>
                <w:rFonts w:cstheme="minorHAnsi"/>
                <w:b/>
                <w:bCs/>
              </w:rPr>
            </w:pPr>
            <w:r w:rsidRPr="004868EE">
              <w:rPr>
                <w:rFonts w:cstheme="minorHAnsi"/>
                <w:b/>
                <w:bCs/>
              </w:rPr>
              <w:t>Metabolic Load</w:t>
            </w:r>
          </w:p>
        </w:tc>
        <w:tc>
          <w:tcPr>
            <w:tcW w:w="6753" w:type="dxa"/>
          </w:tcPr>
          <w:p w14:paraId="778EF14C" w14:textId="77777777" w:rsidR="00934E70" w:rsidRPr="004868EE" w:rsidRDefault="00934E70" w:rsidP="00002A54">
            <w:pPr>
              <w:rPr>
                <w:rFonts w:cstheme="minorHAnsi"/>
                <w:b/>
                <w:bCs/>
              </w:rPr>
            </w:pPr>
            <w:r w:rsidRPr="004868EE">
              <w:rPr>
                <w:rFonts w:cstheme="minorHAnsi"/>
                <w:b/>
                <w:bCs/>
              </w:rPr>
              <w:t>Examples</w:t>
            </w:r>
          </w:p>
        </w:tc>
      </w:tr>
      <w:tr w:rsidR="00934E70" w:rsidRPr="004868EE" w14:paraId="0A786828" w14:textId="77777777" w:rsidTr="00002A54">
        <w:tc>
          <w:tcPr>
            <w:tcW w:w="2263" w:type="dxa"/>
          </w:tcPr>
          <w:p w14:paraId="48B123FF" w14:textId="77777777" w:rsidR="00934E70" w:rsidRPr="004868EE" w:rsidRDefault="00934E70" w:rsidP="00002A54">
            <w:pPr>
              <w:rPr>
                <w:rFonts w:cstheme="minorHAnsi"/>
                <w:b/>
                <w:bCs/>
              </w:rPr>
            </w:pPr>
            <w:r w:rsidRPr="004868EE">
              <w:rPr>
                <w:rFonts w:cstheme="minorHAnsi"/>
                <w:b/>
                <w:bCs/>
              </w:rPr>
              <w:t>Light (115 W/m</w:t>
            </w:r>
            <w:r w:rsidRPr="004868EE">
              <w:rPr>
                <w:rFonts w:cstheme="minorHAnsi"/>
                <w:b/>
                <w:bCs/>
                <w:vertAlign w:val="superscript"/>
              </w:rPr>
              <w:t>2</w:t>
            </w:r>
            <w:r w:rsidRPr="004868EE">
              <w:rPr>
                <w:rFonts w:cstheme="minorHAnsi"/>
                <w:b/>
                <w:bCs/>
              </w:rPr>
              <w:t>)</w:t>
            </w:r>
          </w:p>
        </w:tc>
        <w:tc>
          <w:tcPr>
            <w:tcW w:w="6753" w:type="dxa"/>
          </w:tcPr>
          <w:p w14:paraId="4EBED82F" w14:textId="4502A25F" w:rsidR="00934E70" w:rsidRPr="004868EE" w:rsidRDefault="00934E70" w:rsidP="00002A54">
            <w:pPr>
              <w:spacing w:after="160" w:line="259" w:lineRule="auto"/>
              <w:rPr>
                <w:rFonts w:cstheme="minorHAnsi"/>
              </w:rPr>
            </w:pPr>
            <w:r w:rsidRPr="004868EE">
              <w:rPr>
                <w:rFonts w:cstheme="minorHAnsi"/>
              </w:rPr>
              <w:t>Casual walking over level terrain (speed up to 2.5 km/h); General hand and arm work (small bench tools, inspection, assembly or sorting of light materials); arm and leg work; Standing drilling.</w:t>
            </w:r>
          </w:p>
        </w:tc>
      </w:tr>
      <w:tr w:rsidR="00934E70" w:rsidRPr="004868EE" w14:paraId="0EB2DA97" w14:textId="77777777" w:rsidTr="00002A54">
        <w:tc>
          <w:tcPr>
            <w:tcW w:w="2263" w:type="dxa"/>
          </w:tcPr>
          <w:p w14:paraId="48407B48" w14:textId="77777777" w:rsidR="00934E70" w:rsidRPr="004868EE" w:rsidRDefault="00934E70" w:rsidP="00002A54">
            <w:pPr>
              <w:rPr>
                <w:rFonts w:cstheme="minorHAnsi"/>
                <w:b/>
                <w:bCs/>
              </w:rPr>
            </w:pPr>
            <w:r w:rsidRPr="004868EE">
              <w:rPr>
                <w:rFonts w:cstheme="minorHAnsi"/>
                <w:b/>
                <w:bCs/>
              </w:rPr>
              <w:t>M</w:t>
            </w:r>
            <w:r>
              <w:rPr>
                <w:rFonts w:cstheme="minorHAnsi"/>
                <w:b/>
                <w:bCs/>
              </w:rPr>
              <w:t>edium</w:t>
            </w:r>
            <w:r w:rsidRPr="004868EE">
              <w:rPr>
                <w:rFonts w:cstheme="minorHAnsi"/>
                <w:b/>
                <w:bCs/>
              </w:rPr>
              <w:t xml:space="preserve"> (175 W/m</w:t>
            </w:r>
            <w:r w:rsidRPr="004868EE">
              <w:rPr>
                <w:rFonts w:cstheme="minorHAnsi"/>
                <w:b/>
                <w:bCs/>
                <w:vertAlign w:val="superscript"/>
              </w:rPr>
              <w:t>2</w:t>
            </w:r>
            <w:r w:rsidRPr="004868EE">
              <w:rPr>
                <w:rFonts w:cstheme="minorHAnsi"/>
                <w:b/>
                <w:bCs/>
              </w:rPr>
              <w:t>)</w:t>
            </w:r>
          </w:p>
        </w:tc>
        <w:tc>
          <w:tcPr>
            <w:tcW w:w="6753" w:type="dxa"/>
          </w:tcPr>
          <w:p w14:paraId="6CC64E33" w14:textId="77777777" w:rsidR="00934E70" w:rsidRPr="004868EE" w:rsidRDefault="00934E70" w:rsidP="00002A54">
            <w:pPr>
              <w:rPr>
                <w:rFonts w:cstheme="minorHAnsi"/>
              </w:rPr>
            </w:pPr>
            <w:r w:rsidRPr="004868EE">
              <w:rPr>
                <w:rFonts w:cstheme="minorHAnsi"/>
              </w:rPr>
              <w:t>Sustained hand and arm work (hammering in nails, filing); arm and leg work (off-road operation of lorries, tractors or construction equipment); arm and trunk work (work with pneumatic hammer); intermittent handling of moderately heavy material, pushing or pulling lightweight carts or wheelbarrows, walking at a speed of 2.5 km/h to 5.5 km/h.</w:t>
            </w:r>
          </w:p>
        </w:tc>
      </w:tr>
      <w:tr w:rsidR="00934E70" w:rsidRPr="004868EE" w14:paraId="3559A633" w14:textId="77777777" w:rsidTr="00002A54">
        <w:tc>
          <w:tcPr>
            <w:tcW w:w="2263" w:type="dxa"/>
          </w:tcPr>
          <w:p w14:paraId="7E78813C" w14:textId="77777777" w:rsidR="00934E70" w:rsidRPr="004868EE" w:rsidRDefault="00934E70" w:rsidP="00002A54">
            <w:pPr>
              <w:rPr>
                <w:rFonts w:cstheme="minorHAnsi"/>
                <w:b/>
                <w:bCs/>
              </w:rPr>
            </w:pPr>
            <w:r w:rsidRPr="004868EE">
              <w:rPr>
                <w:rFonts w:cstheme="minorHAnsi"/>
                <w:b/>
                <w:bCs/>
              </w:rPr>
              <w:t>High (230 W/m</w:t>
            </w:r>
            <w:r w:rsidRPr="004868EE">
              <w:rPr>
                <w:rFonts w:cstheme="minorHAnsi"/>
                <w:b/>
                <w:bCs/>
                <w:vertAlign w:val="superscript"/>
              </w:rPr>
              <w:t>2</w:t>
            </w:r>
            <w:r w:rsidRPr="004868EE">
              <w:rPr>
                <w:rFonts w:cstheme="minorHAnsi"/>
                <w:b/>
                <w:bCs/>
              </w:rPr>
              <w:t>)</w:t>
            </w:r>
          </w:p>
        </w:tc>
        <w:tc>
          <w:tcPr>
            <w:tcW w:w="6753" w:type="dxa"/>
          </w:tcPr>
          <w:p w14:paraId="7002C558" w14:textId="77777777" w:rsidR="00934E70" w:rsidRPr="004868EE" w:rsidRDefault="00934E70" w:rsidP="00002A54">
            <w:pPr>
              <w:rPr>
                <w:rFonts w:cstheme="minorHAnsi"/>
              </w:rPr>
            </w:pPr>
            <w:r w:rsidRPr="004868EE">
              <w:rPr>
                <w:rFonts w:cstheme="minorHAnsi"/>
              </w:rPr>
              <w:t>Intense arm and trunk work; carrying heavy material; shovelling; sledgehammer work; sawing; hand mowing; digging; walking at a speed of 5.5 km/h to 7 km/h. Pushing or pulling heavily loaded hand carts or wheelbarrows; chipping castings; concrete block laying.</w:t>
            </w:r>
          </w:p>
        </w:tc>
      </w:tr>
    </w:tbl>
    <w:p w14:paraId="76112707" w14:textId="77777777" w:rsidR="00D60164" w:rsidRDefault="00D60164" w:rsidP="005439DD">
      <w:pPr>
        <w:pStyle w:val="Default"/>
        <w:rPr>
          <w:rFonts w:asciiTheme="minorHAnsi" w:hAnsiTheme="minorHAnsi" w:cstheme="minorBidi"/>
          <w:color w:val="auto"/>
          <w:kern w:val="2"/>
          <w:sz w:val="22"/>
          <w:szCs w:val="22"/>
        </w:rPr>
      </w:pPr>
    </w:p>
    <w:p w14:paraId="0F876681" w14:textId="0496E029" w:rsidR="002A56C3" w:rsidRDefault="005439DD" w:rsidP="005439DD">
      <w:pPr>
        <w:pStyle w:val="Default"/>
        <w:rPr>
          <w:rFonts w:asciiTheme="minorHAnsi" w:hAnsiTheme="minorHAnsi" w:cstheme="minorBidi"/>
          <w:color w:val="auto"/>
          <w:kern w:val="2"/>
          <w:sz w:val="22"/>
          <w:szCs w:val="22"/>
        </w:rPr>
      </w:pPr>
      <w:r>
        <w:rPr>
          <w:rFonts w:asciiTheme="minorHAnsi" w:hAnsiTheme="minorHAnsi" w:cstheme="minorBidi"/>
          <w:color w:val="auto"/>
          <w:kern w:val="2"/>
          <w:sz w:val="22"/>
          <w:szCs w:val="22"/>
        </w:rPr>
        <w:t xml:space="preserve">Utilising the </w:t>
      </w:r>
      <w:r w:rsidR="00701F6E">
        <w:rPr>
          <w:rFonts w:asciiTheme="minorHAnsi" w:hAnsiTheme="minorHAnsi" w:cstheme="minorBidi"/>
          <w:color w:val="auto"/>
          <w:kern w:val="2"/>
          <w:sz w:val="22"/>
          <w:szCs w:val="22"/>
        </w:rPr>
        <w:t xml:space="preserve">collated </w:t>
      </w:r>
      <w:r>
        <w:rPr>
          <w:rFonts w:asciiTheme="minorHAnsi" w:hAnsiTheme="minorHAnsi" w:cstheme="minorBidi"/>
          <w:color w:val="auto"/>
          <w:kern w:val="2"/>
          <w:sz w:val="22"/>
          <w:szCs w:val="22"/>
        </w:rPr>
        <w:t>data</w:t>
      </w:r>
      <w:r w:rsidR="00301EE4">
        <w:rPr>
          <w:rFonts w:asciiTheme="minorHAnsi" w:hAnsiTheme="minorHAnsi" w:cstheme="minorBidi"/>
          <w:color w:val="auto"/>
          <w:kern w:val="2"/>
          <w:sz w:val="22"/>
          <w:szCs w:val="22"/>
        </w:rPr>
        <w:t>,</w:t>
      </w:r>
      <w:r>
        <w:rPr>
          <w:rFonts w:asciiTheme="minorHAnsi" w:hAnsiTheme="minorHAnsi" w:cstheme="minorBidi"/>
          <w:color w:val="auto"/>
          <w:kern w:val="2"/>
          <w:sz w:val="22"/>
          <w:szCs w:val="22"/>
        </w:rPr>
        <w:t xml:space="preserve"> scenarios were calculated initially via two programs, the author’s privately owned desktop program and one downloaded from the University of Thessaly</w:t>
      </w:r>
      <w:r w:rsidR="006F5ECA">
        <w:rPr>
          <w:rFonts w:asciiTheme="minorHAnsi" w:hAnsiTheme="minorHAnsi" w:cstheme="minorBidi"/>
          <w:color w:val="auto"/>
          <w:kern w:val="2"/>
          <w:sz w:val="22"/>
          <w:szCs w:val="22"/>
        </w:rPr>
        <w:t>, FAME computer program.</w:t>
      </w:r>
    </w:p>
    <w:p w14:paraId="02611FDC" w14:textId="1D4A0C09" w:rsidR="00D60164" w:rsidRDefault="00D60164" w:rsidP="005439DD">
      <w:pPr>
        <w:pStyle w:val="Default"/>
        <w:rPr>
          <w:rFonts w:asciiTheme="minorHAnsi" w:hAnsiTheme="minorHAnsi" w:cstheme="minorBidi"/>
          <w:color w:val="auto"/>
          <w:kern w:val="2"/>
          <w:sz w:val="22"/>
          <w:szCs w:val="22"/>
        </w:rPr>
      </w:pPr>
      <w:r>
        <w:rPr>
          <w:rFonts w:asciiTheme="minorHAnsi" w:hAnsiTheme="minorHAnsi" w:cstheme="minorBidi"/>
          <w:color w:val="auto"/>
          <w:kern w:val="2"/>
          <w:sz w:val="22"/>
          <w:szCs w:val="22"/>
        </w:rPr>
        <w:t>Unfortunately,</w:t>
      </w:r>
      <w:r w:rsidR="006F5ECA">
        <w:rPr>
          <w:rFonts w:asciiTheme="minorHAnsi" w:hAnsiTheme="minorHAnsi" w:cstheme="minorBidi"/>
          <w:color w:val="auto"/>
          <w:kern w:val="2"/>
          <w:sz w:val="22"/>
          <w:szCs w:val="22"/>
        </w:rPr>
        <w:t xml:space="preserve"> the latter tended to freeze and lock up the </w:t>
      </w:r>
      <w:r>
        <w:rPr>
          <w:rFonts w:asciiTheme="minorHAnsi" w:hAnsiTheme="minorHAnsi" w:cstheme="minorBidi"/>
          <w:color w:val="auto"/>
          <w:kern w:val="2"/>
          <w:sz w:val="22"/>
          <w:szCs w:val="22"/>
        </w:rPr>
        <w:t>computer,</w:t>
      </w:r>
      <w:r w:rsidR="006F5ECA">
        <w:rPr>
          <w:rFonts w:asciiTheme="minorHAnsi" w:hAnsiTheme="minorHAnsi" w:cstheme="minorBidi"/>
          <w:color w:val="auto"/>
          <w:kern w:val="2"/>
          <w:sz w:val="22"/>
          <w:szCs w:val="22"/>
        </w:rPr>
        <w:t xml:space="preserve"> so an alternative was sourced from Lund University Faculty of </w:t>
      </w:r>
      <w:r>
        <w:rPr>
          <w:rFonts w:asciiTheme="minorHAnsi" w:hAnsiTheme="minorHAnsi" w:cstheme="minorBidi"/>
          <w:color w:val="auto"/>
          <w:kern w:val="2"/>
          <w:sz w:val="22"/>
          <w:szCs w:val="22"/>
        </w:rPr>
        <w:t>E</w:t>
      </w:r>
      <w:r w:rsidR="006F5ECA">
        <w:rPr>
          <w:rFonts w:asciiTheme="minorHAnsi" w:hAnsiTheme="minorHAnsi" w:cstheme="minorBidi"/>
          <w:color w:val="auto"/>
          <w:kern w:val="2"/>
          <w:sz w:val="22"/>
          <w:szCs w:val="22"/>
        </w:rPr>
        <w:t xml:space="preserve">ngineering </w:t>
      </w:r>
      <w:r>
        <w:rPr>
          <w:rFonts w:asciiTheme="minorHAnsi" w:hAnsiTheme="minorHAnsi" w:cstheme="minorBidi"/>
          <w:color w:val="auto"/>
          <w:kern w:val="2"/>
          <w:sz w:val="22"/>
          <w:szCs w:val="22"/>
        </w:rPr>
        <w:t>website</w:t>
      </w:r>
      <w:r w:rsidR="00752AC1">
        <w:rPr>
          <w:rStyle w:val="EndnoteReference"/>
          <w:rFonts w:asciiTheme="minorHAnsi" w:hAnsiTheme="minorHAnsi" w:cstheme="minorBidi"/>
          <w:color w:val="auto"/>
          <w:kern w:val="2"/>
          <w:sz w:val="22"/>
          <w:szCs w:val="22"/>
        </w:rPr>
        <w:endnoteReference w:id="10"/>
      </w:r>
      <w:r>
        <w:rPr>
          <w:rFonts w:asciiTheme="minorHAnsi" w:hAnsiTheme="minorHAnsi" w:cstheme="minorBidi"/>
          <w:color w:val="auto"/>
          <w:kern w:val="2"/>
          <w:sz w:val="22"/>
          <w:szCs w:val="22"/>
        </w:rPr>
        <w:t>.</w:t>
      </w:r>
      <w:r w:rsidR="006F5ECA">
        <w:rPr>
          <w:rFonts w:asciiTheme="minorHAnsi" w:hAnsiTheme="minorHAnsi" w:cstheme="minorBidi"/>
          <w:color w:val="auto"/>
          <w:kern w:val="2"/>
          <w:sz w:val="22"/>
          <w:szCs w:val="22"/>
        </w:rPr>
        <w:t xml:space="preserve"> </w:t>
      </w:r>
    </w:p>
    <w:p w14:paraId="4080C32F" w14:textId="64A79482" w:rsidR="00301EE4" w:rsidRDefault="0009346E" w:rsidP="00301EE4">
      <w:pPr>
        <w:rPr>
          <w:rFonts w:cstheme="minorHAnsi"/>
        </w:rPr>
      </w:pPr>
      <w:r>
        <w:t>As each scenario was assessed it was allocated a colour code</w:t>
      </w:r>
      <w:r w:rsidR="00301EE4">
        <w:t>.</w:t>
      </w:r>
      <w:r w:rsidR="00301EE4" w:rsidRPr="00301EE4">
        <w:rPr>
          <w:rFonts w:cstheme="minorHAnsi"/>
        </w:rPr>
        <w:t xml:space="preserve"> </w:t>
      </w:r>
      <w:r w:rsidR="00301EE4">
        <w:rPr>
          <w:rFonts w:cstheme="minorHAnsi"/>
        </w:rPr>
        <w:t>The colour coding in the PHS Metabolic workload tables was b</w:t>
      </w:r>
      <w:r w:rsidR="00301EE4" w:rsidRPr="004868EE">
        <w:rPr>
          <w:rFonts w:cstheme="minorHAnsi"/>
        </w:rPr>
        <w:t>ased upon</w:t>
      </w:r>
      <w:r w:rsidR="00301EE4">
        <w:rPr>
          <w:rFonts w:cstheme="minorHAnsi"/>
        </w:rPr>
        <w:t xml:space="preserve"> </w:t>
      </w:r>
      <w:r w:rsidR="00301EE4" w:rsidRPr="004868EE">
        <w:rPr>
          <w:rFonts w:cstheme="minorHAnsi"/>
        </w:rPr>
        <w:t xml:space="preserve">fit healthy </w:t>
      </w:r>
      <w:r w:rsidR="00301EE4">
        <w:rPr>
          <w:rFonts w:cstheme="minorHAnsi"/>
        </w:rPr>
        <w:t xml:space="preserve">acclimatised workers and represents the predicted time range in which they may </w:t>
      </w:r>
      <w:r w:rsidR="00301EE4" w:rsidRPr="004868EE">
        <w:rPr>
          <w:rFonts w:cstheme="minorHAnsi"/>
        </w:rPr>
        <w:t>exceed the World Health Organisation</w:t>
      </w:r>
      <w:r w:rsidR="00301EE4">
        <w:rPr>
          <w:rStyle w:val="EndnoteReference"/>
        </w:rPr>
        <w:endnoteReference w:id="11"/>
      </w:r>
      <w:r w:rsidR="00301EE4" w:rsidRPr="004868EE">
        <w:rPr>
          <w:rFonts w:cstheme="minorHAnsi"/>
        </w:rPr>
        <w:t xml:space="preserve"> </w:t>
      </w:r>
      <w:r w:rsidR="00301EE4">
        <w:t xml:space="preserve">recommended limit of </w:t>
      </w:r>
      <w:r w:rsidR="00301EE4" w:rsidRPr="004868EE">
        <w:rPr>
          <w:rFonts w:cstheme="minorHAnsi"/>
        </w:rPr>
        <w:t>38°C core temperature</w:t>
      </w:r>
      <w:r w:rsidR="00301EE4">
        <w:rPr>
          <w:rFonts w:cstheme="minorHAnsi"/>
        </w:rPr>
        <w:t xml:space="preserve">.  </w:t>
      </w:r>
    </w:p>
    <w:p w14:paraId="26CCBF10" w14:textId="77777777" w:rsidR="00301EE4" w:rsidRDefault="00301EE4" w:rsidP="000D571D">
      <w:pPr>
        <w:spacing w:line="240" w:lineRule="auto"/>
        <w:rPr>
          <w:rFonts w:cstheme="minorHAnsi"/>
        </w:rPr>
      </w:pPr>
      <w:r>
        <w:rPr>
          <w:rFonts w:cstheme="minorHAnsi"/>
        </w:rPr>
        <w:t>The colours represent the following:</w:t>
      </w:r>
    </w:p>
    <w:p w14:paraId="17CA8C40" w14:textId="0F0AEFCB" w:rsidR="00301EE4" w:rsidRDefault="006E6B6B" w:rsidP="000D571D">
      <w:pPr>
        <w:pStyle w:val="ListParagraph"/>
        <w:numPr>
          <w:ilvl w:val="0"/>
          <w:numId w:val="4"/>
        </w:numPr>
        <w:ind w:left="714" w:hanging="357"/>
        <w:rPr>
          <w:rFonts w:asciiTheme="minorHAnsi" w:eastAsiaTheme="minorHAnsi" w:hAnsiTheme="minorHAnsi" w:cstheme="minorHAnsi"/>
        </w:rPr>
      </w:pPr>
      <w:r>
        <w:rPr>
          <w:rFonts w:asciiTheme="minorHAnsi" w:eastAsiaTheme="minorHAnsi" w:hAnsiTheme="minorHAnsi" w:cstheme="minorHAnsi"/>
        </w:rPr>
        <w:t>R</w:t>
      </w:r>
      <w:r w:rsidR="00301EE4" w:rsidRPr="0027766D">
        <w:rPr>
          <w:rFonts w:asciiTheme="minorHAnsi" w:eastAsiaTheme="minorHAnsi" w:hAnsiTheme="minorHAnsi" w:cstheme="minorHAnsi"/>
        </w:rPr>
        <w:t xml:space="preserve">ed zones are in less than 30 minutes. </w:t>
      </w:r>
    </w:p>
    <w:p w14:paraId="50733902" w14:textId="64FD51B7" w:rsidR="00301EE4" w:rsidRDefault="006E6B6B" w:rsidP="000D571D">
      <w:pPr>
        <w:pStyle w:val="ListParagraph"/>
        <w:numPr>
          <w:ilvl w:val="0"/>
          <w:numId w:val="4"/>
        </w:numPr>
        <w:ind w:left="714" w:hanging="357"/>
        <w:rPr>
          <w:rFonts w:asciiTheme="minorHAnsi" w:eastAsiaTheme="minorHAnsi" w:hAnsiTheme="minorHAnsi" w:cstheme="minorHAnsi"/>
        </w:rPr>
      </w:pPr>
      <w:r>
        <w:rPr>
          <w:rFonts w:asciiTheme="minorHAnsi" w:eastAsiaTheme="minorHAnsi" w:hAnsiTheme="minorHAnsi" w:cstheme="minorHAnsi"/>
        </w:rPr>
        <w:t>A</w:t>
      </w:r>
      <w:r w:rsidR="00301EE4" w:rsidRPr="0027766D">
        <w:rPr>
          <w:rFonts w:asciiTheme="minorHAnsi" w:eastAsiaTheme="minorHAnsi" w:hAnsiTheme="minorHAnsi" w:cstheme="minorHAnsi"/>
        </w:rPr>
        <w:t xml:space="preserve">mber zone in the range of approximately 31 to 120 minutes, </w:t>
      </w:r>
    </w:p>
    <w:p w14:paraId="6F5EDFAF" w14:textId="71E407C3" w:rsidR="00301EE4" w:rsidRDefault="006E6B6B" w:rsidP="000D571D">
      <w:pPr>
        <w:pStyle w:val="ListParagraph"/>
        <w:numPr>
          <w:ilvl w:val="0"/>
          <w:numId w:val="4"/>
        </w:numPr>
        <w:ind w:left="714" w:hanging="357"/>
        <w:rPr>
          <w:rFonts w:asciiTheme="minorHAnsi" w:eastAsiaTheme="minorHAnsi" w:hAnsiTheme="minorHAnsi" w:cstheme="minorHAnsi"/>
        </w:rPr>
      </w:pPr>
      <w:r>
        <w:rPr>
          <w:rFonts w:asciiTheme="minorHAnsi" w:eastAsiaTheme="minorHAnsi" w:hAnsiTheme="minorHAnsi" w:cstheme="minorHAnsi"/>
        </w:rPr>
        <w:t>Y</w:t>
      </w:r>
      <w:r w:rsidR="00301EE4" w:rsidRPr="0027766D">
        <w:rPr>
          <w:rFonts w:asciiTheme="minorHAnsi" w:eastAsiaTheme="minorHAnsi" w:hAnsiTheme="minorHAnsi" w:cstheme="minorHAnsi"/>
        </w:rPr>
        <w:t>ellow from 120 to 240 minutes</w:t>
      </w:r>
      <w:r>
        <w:rPr>
          <w:rFonts w:asciiTheme="minorHAnsi" w:eastAsiaTheme="minorHAnsi" w:hAnsiTheme="minorHAnsi" w:cstheme="minorHAnsi"/>
        </w:rPr>
        <w:t xml:space="preserve">, </w:t>
      </w:r>
      <w:r w:rsidRPr="0027766D">
        <w:rPr>
          <w:rFonts w:asciiTheme="minorHAnsi" w:eastAsiaTheme="minorHAnsi" w:hAnsiTheme="minorHAnsi" w:cstheme="minorHAnsi"/>
        </w:rPr>
        <w:t>and</w:t>
      </w:r>
      <w:r w:rsidR="00301EE4" w:rsidRPr="0027766D">
        <w:rPr>
          <w:rFonts w:asciiTheme="minorHAnsi" w:eastAsiaTheme="minorHAnsi" w:hAnsiTheme="minorHAnsi" w:cstheme="minorHAnsi"/>
        </w:rPr>
        <w:t xml:space="preserve"> </w:t>
      </w:r>
    </w:p>
    <w:p w14:paraId="36A95A84" w14:textId="42E0EDAF" w:rsidR="00301EE4" w:rsidRPr="0027766D" w:rsidRDefault="00301EE4" w:rsidP="000D571D">
      <w:pPr>
        <w:pStyle w:val="ListParagraph"/>
        <w:numPr>
          <w:ilvl w:val="0"/>
          <w:numId w:val="4"/>
        </w:numPr>
        <w:ind w:left="714" w:hanging="357"/>
        <w:rPr>
          <w:rFonts w:asciiTheme="minorHAnsi" w:eastAsiaTheme="minorHAnsi" w:hAnsiTheme="minorHAnsi" w:cstheme="minorHAnsi"/>
        </w:rPr>
      </w:pPr>
      <w:r>
        <w:rPr>
          <w:rFonts w:asciiTheme="minorHAnsi" w:eastAsiaTheme="minorHAnsi" w:hAnsiTheme="minorHAnsi" w:cstheme="minorHAnsi"/>
        </w:rPr>
        <w:t xml:space="preserve">Green zones indicate </w:t>
      </w:r>
      <w:r w:rsidR="006E6B6B">
        <w:rPr>
          <w:rFonts w:asciiTheme="minorHAnsi" w:eastAsiaTheme="minorHAnsi" w:hAnsiTheme="minorHAnsi" w:cstheme="minorHAnsi"/>
        </w:rPr>
        <w:t>greater than 240 minutes.</w:t>
      </w:r>
    </w:p>
    <w:p w14:paraId="189CF235" w14:textId="47C93703" w:rsidR="00D60164" w:rsidRDefault="006E6B6B" w:rsidP="000D571D">
      <w:pPr>
        <w:pStyle w:val="Default"/>
        <w:rPr>
          <w:rFonts w:asciiTheme="minorHAnsi" w:hAnsiTheme="minorHAnsi" w:cstheme="minorBidi"/>
          <w:color w:val="auto"/>
          <w:kern w:val="2"/>
          <w:sz w:val="22"/>
          <w:szCs w:val="22"/>
        </w:rPr>
      </w:pPr>
      <w:r>
        <w:rPr>
          <w:rFonts w:asciiTheme="minorHAnsi" w:hAnsiTheme="minorHAnsi" w:cstheme="minorBidi"/>
          <w:color w:val="auto"/>
          <w:kern w:val="2"/>
          <w:sz w:val="22"/>
          <w:szCs w:val="22"/>
        </w:rPr>
        <w:t>Each of the tables was gradually built up as per Figure 1</w:t>
      </w:r>
      <w:r w:rsidR="000B0CC9">
        <w:rPr>
          <w:rFonts w:asciiTheme="minorHAnsi" w:hAnsiTheme="minorHAnsi" w:cstheme="minorBidi"/>
          <w:color w:val="auto"/>
          <w:kern w:val="2"/>
          <w:sz w:val="22"/>
          <w:szCs w:val="22"/>
        </w:rPr>
        <w:t>.</w:t>
      </w:r>
      <w:r>
        <w:rPr>
          <w:rFonts w:asciiTheme="minorHAnsi" w:hAnsiTheme="minorHAnsi" w:cstheme="minorBidi"/>
          <w:color w:val="auto"/>
          <w:kern w:val="2"/>
          <w:sz w:val="22"/>
          <w:szCs w:val="22"/>
        </w:rPr>
        <w:t xml:space="preserve"> </w:t>
      </w:r>
    </w:p>
    <w:p w14:paraId="33B51B38" w14:textId="77777777" w:rsidR="006E6B6B" w:rsidRDefault="006E6B6B" w:rsidP="000D571D">
      <w:pPr>
        <w:pStyle w:val="Default"/>
        <w:rPr>
          <w:rFonts w:asciiTheme="minorHAnsi" w:hAnsiTheme="minorHAnsi" w:cstheme="minorBidi"/>
          <w:color w:val="auto"/>
          <w:kern w:val="2"/>
          <w:sz w:val="22"/>
          <w:szCs w:val="22"/>
        </w:rPr>
      </w:pPr>
    </w:p>
    <w:p w14:paraId="00FA1FA9" w14:textId="214B9D96" w:rsidR="006E6B6B" w:rsidRDefault="006E6B6B" w:rsidP="005439DD">
      <w:pPr>
        <w:pStyle w:val="Default"/>
        <w:rPr>
          <w:rFonts w:asciiTheme="minorHAnsi" w:hAnsiTheme="minorHAnsi" w:cstheme="minorBidi"/>
          <w:color w:val="auto"/>
          <w:kern w:val="2"/>
          <w:sz w:val="22"/>
          <w:szCs w:val="22"/>
        </w:rPr>
      </w:pPr>
      <w:r>
        <w:rPr>
          <w:noProof/>
        </w:rPr>
        <w:drawing>
          <wp:inline distT="0" distB="0" distL="0" distR="0" wp14:anchorId="6CE95456" wp14:editId="7FEE0026">
            <wp:extent cx="5731510" cy="2771140"/>
            <wp:effectExtent l="0" t="0" r="2540" b="0"/>
            <wp:docPr id="157178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78522" name=""/>
                    <pic:cNvPicPr/>
                  </pic:nvPicPr>
                  <pic:blipFill>
                    <a:blip r:embed="rId10"/>
                    <a:stretch>
                      <a:fillRect/>
                    </a:stretch>
                  </pic:blipFill>
                  <pic:spPr>
                    <a:xfrm>
                      <a:off x="0" y="0"/>
                      <a:ext cx="5731510" cy="2771140"/>
                    </a:xfrm>
                    <a:prstGeom prst="rect">
                      <a:avLst/>
                    </a:prstGeom>
                  </pic:spPr>
                </pic:pic>
              </a:graphicData>
            </a:graphic>
          </wp:inline>
        </w:drawing>
      </w:r>
    </w:p>
    <w:p w14:paraId="646E760E" w14:textId="77777777" w:rsidR="003A5CD1" w:rsidRDefault="003A5CD1" w:rsidP="005439DD">
      <w:pPr>
        <w:pStyle w:val="Default"/>
        <w:rPr>
          <w:rFonts w:asciiTheme="minorHAnsi" w:hAnsiTheme="minorHAnsi" w:cstheme="minorBidi"/>
          <w:color w:val="auto"/>
          <w:kern w:val="2"/>
          <w:sz w:val="22"/>
          <w:szCs w:val="22"/>
        </w:rPr>
      </w:pPr>
    </w:p>
    <w:p w14:paraId="5E788CE9" w14:textId="7BFE4372" w:rsidR="00934E70" w:rsidRDefault="00934E70" w:rsidP="005439DD">
      <w:pPr>
        <w:pStyle w:val="Default"/>
        <w:rPr>
          <w:rFonts w:asciiTheme="minorHAnsi" w:hAnsiTheme="minorHAnsi" w:cstheme="minorBidi"/>
          <w:color w:val="auto"/>
          <w:kern w:val="2"/>
          <w:sz w:val="22"/>
          <w:szCs w:val="22"/>
        </w:rPr>
      </w:pPr>
      <w:r>
        <w:rPr>
          <w:rFonts w:asciiTheme="minorHAnsi" w:hAnsiTheme="minorHAnsi" w:cstheme="minorBidi"/>
          <w:color w:val="auto"/>
          <w:kern w:val="2"/>
          <w:sz w:val="22"/>
          <w:szCs w:val="22"/>
        </w:rPr>
        <w:t>Figure 1. Progressive Development of Charts</w:t>
      </w:r>
    </w:p>
    <w:p w14:paraId="324E89D3" w14:textId="77777777" w:rsidR="00934E70" w:rsidRDefault="00934E70" w:rsidP="005439DD">
      <w:pPr>
        <w:pStyle w:val="Default"/>
        <w:rPr>
          <w:rFonts w:asciiTheme="minorHAnsi" w:hAnsiTheme="minorHAnsi" w:cstheme="minorBidi"/>
          <w:color w:val="auto"/>
          <w:kern w:val="2"/>
          <w:sz w:val="22"/>
          <w:szCs w:val="22"/>
        </w:rPr>
      </w:pPr>
    </w:p>
    <w:p w14:paraId="44E09FDD" w14:textId="111BF1B4" w:rsidR="000B0CC9" w:rsidRPr="00BA5C11" w:rsidRDefault="000B0CC9" w:rsidP="000B0CC9">
      <w:pPr>
        <w:pStyle w:val="Default"/>
        <w:ind w:left="-14"/>
        <w:rPr>
          <w:rFonts w:asciiTheme="minorHAnsi" w:hAnsiTheme="minorHAnsi" w:cstheme="minorBidi"/>
          <w:color w:val="auto"/>
          <w:kern w:val="2"/>
          <w:sz w:val="22"/>
          <w:szCs w:val="22"/>
        </w:rPr>
      </w:pPr>
      <w:r>
        <w:rPr>
          <w:rFonts w:asciiTheme="minorHAnsi" w:hAnsiTheme="minorHAnsi" w:cstheme="minorBidi"/>
          <w:color w:val="auto"/>
          <w:kern w:val="2"/>
          <w:sz w:val="22"/>
          <w:szCs w:val="22"/>
        </w:rPr>
        <w:t xml:space="preserve">The final resultant tables are illustrated in Figures 2, 3 &amp; 4. It should be noted that </w:t>
      </w:r>
      <w:r w:rsidR="001959FB">
        <w:rPr>
          <w:rFonts w:asciiTheme="minorHAnsi" w:hAnsiTheme="minorHAnsi" w:cstheme="minorBidi"/>
          <w:color w:val="auto"/>
          <w:kern w:val="2"/>
          <w:sz w:val="22"/>
          <w:szCs w:val="22"/>
        </w:rPr>
        <w:t xml:space="preserve">some of </w:t>
      </w:r>
      <w:r>
        <w:rPr>
          <w:rFonts w:asciiTheme="minorHAnsi" w:hAnsiTheme="minorHAnsi" w:cstheme="minorBidi"/>
          <w:color w:val="auto"/>
          <w:kern w:val="2"/>
          <w:sz w:val="22"/>
          <w:szCs w:val="22"/>
        </w:rPr>
        <w:t xml:space="preserve">the extreme </w:t>
      </w:r>
      <w:r w:rsidR="001959FB">
        <w:rPr>
          <w:rFonts w:asciiTheme="minorHAnsi" w:hAnsiTheme="minorHAnsi" w:cstheme="minorBidi"/>
          <w:color w:val="auto"/>
          <w:kern w:val="2"/>
          <w:sz w:val="22"/>
          <w:szCs w:val="22"/>
        </w:rPr>
        <w:t xml:space="preserve">conditions towards the </w:t>
      </w:r>
      <w:r>
        <w:rPr>
          <w:rFonts w:asciiTheme="minorHAnsi" w:hAnsiTheme="minorHAnsi" w:cstheme="minorBidi"/>
          <w:color w:val="auto"/>
          <w:kern w:val="2"/>
          <w:sz w:val="22"/>
          <w:szCs w:val="22"/>
        </w:rPr>
        <w:t xml:space="preserve">bottom </w:t>
      </w:r>
      <w:r w:rsidR="00E367E4">
        <w:rPr>
          <w:rFonts w:asciiTheme="minorHAnsi" w:hAnsiTheme="minorHAnsi" w:cstheme="minorBidi"/>
          <w:color w:val="auto"/>
          <w:kern w:val="2"/>
          <w:sz w:val="22"/>
          <w:szCs w:val="22"/>
        </w:rPr>
        <w:t>right-hand</w:t>
      </w:r>
      <w:r w:rsidR="001959FB">
        <w:rPr>
          <w:rFonts w:asciiTheme="minorHAnsi" w:hAnsiTheme="minorHAnsi" w:cstheme="minorBidi"/>
          <w:color w:val="auto"/>
          <w:kern w:val="2"/>
          <w:sz w:val="22"/>
          <w:szCs w:val="22"/>
        </w:rPr>
        <w:t xml:space="preserve"> corner </w:t>
      </w:r>
      <w:r>
        <w:rPr>
          <w:rFonts w:asciiTheme="minorHAnsi" w:hAnsiTheme="minorHAnsi" w:cstheme="minorBidi"/>
          <w:color w:val="auto"/>
          <w:kern w:val="2"/>
          <w:sz w:val="22"/>
          <w:szCs w:val="22"/>
        </w:rPr>
        <w:t>the table were not all calculated but were extrapolated f</w:t>
      </w:r>
      <w:r w:rsidR="00E367E4">
        <w:rPr>
          <w:rFonts w:asciiTheme="minorHAnsi" w:hAnsiTheme="minorHAnsi" w:cstheme="minorBidi"/>
          <w:color w:val="auto"/>
          <w:kern w:val="2"/>
          <w:sz w:val="22"/>
          <w:szCs w:val="22"/>
        </w:rPr>
        <w:t>ro</w:t>
      </w:r>
      <w:r>
        <w:rPr>
          <w:rFonts w:asciiTheme="minorHAnsi" w:hAnsiTheme="minorHAnsi" w:cstheme="minorBidi"/>
          <w:color w:val="auto"/>
          <w:kern w:val="2"/>
          <w:sz w:val="22"/>
          <w:szCs w:val="22"/>
        </w:rPr>
        <w:t>m the earlier data.</w:t>
      </w:r>
    </w:p>
    <w:p w14:paraId="3E7F744E" w14:textId="4DAC3201" w:rsidR="00B76D43" w:rsidRDefault="00B76D43" w:rsidP="00CF56EE">
      <w:pPr>
        <w:pStyle w:val="Default"/>
        <w:ind w:left="-14"/>
        <w:rPr>
          <w:rFonts w:asciiTheme="minorHAnsi" w:hAnsiTheme="minorHAnsi" w:cstheme="minorBidi"/>
          <w:color w:val="auto"/>
          <w:kern w:val="2"/>
          <w:sz w:val="22"/>
          <w:szCs w:val="22"/>
        </w:rPr>
      </w:pPr>
    </w:p>
    <w:p w14:paraId="2B8CB9D9" w14:textId="099311E5" w:rsidR="000C1C15" w:rsidRDefault="000B0CC9" w:rsidP="00360DE8">
      <w:pPr>
        <w:jc w:val="center"/>
      </w:pPr>
      <w:r>
        <w:rPr>
          <w:noProof/>
        </w:rPr>
        <w:drawing>
          <wp:inline distT="0" distB="0" distL="0" distR="0" wp14:anchorId="6A222BD2" wp14:editId="47216F72">
            <wp:extent cx="2893396" cy="1952625"/>
            <wp:effectExtent l="0" t="0" r="2540" b="0"/>
            <wp:docPr id="31" name="Picture 3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hart&#10;&#10;Description automatically generated"/>
                    <pic:cNvPicPr/>
                  </pic:nvPicPr>
                  <pic:blipFill>
                    <a:blip r:embed="rId11"/>
                    <a:stretch>
                      <a:fillRect/>
                    </a:stretch>
                  </pic:blipFill>
                  <pic:spPr>
                    <a:xfrm>
                      <a:off x="0" y="0"/>
                      <a:ext cx="2947212" cy="1988943"/>
                    </a:xfrm>
                    <a:prstGeom prst="rect">
                      <a:avLst/>
                    </a:prstGeom>
                  </pic:spPr>
                </pic:pic>
              </a:graphicData>
            </a:graphic>
          </wp:inline>
        </w:drawing>
      </w:r>
    </w:p>
    <w:p w14:paraId="4A0D9296" w14:textId="77777777" w:rsidR="003D0AF5" w:rsidRDefault="003D0AF5" w:rsidP="003D0AF5">
      <w:pPr>
        <w:pStyle w:val="Default"/>
        <w:rPr>
          <w:rFonts w:asciiTheme="minorHAnsi" w:hAnsiTheme="minorHAnsi" w:cstheme="minorBidi"/>
          <w:color w:val="auto"/>
          <w:kern w:val="2"/>
          <w:sz w:val="22"/>
          <w:szCs w:val="22"/>
        </w:rPr>
      </w:pPr>
      <w:r>
        <w:rPr>
          <w:rFonts w:asciiTheme="minorHAnsi" w:hAnsiTheme="minorHAnsi" w:cstheme="minorBidi"/>
          <w:color w:val="auto"/>
          <w:kern w:val="2"/>
          <w:sz w:val="22"/>
          <w:szCs w:val="22"/>
        </w:rPr>
        <w:t>Figure 2. Completed Low Metabolic Work Rate Chart.</w:t>
      </w:r>
    </w:p>
    <w:p w14:paraId="0AD93687" w14:textId="77777777" w:rsidR="003D0AF5" w:rsidRDefault="003D0AF5"/>
    <w:p w14:paraId="6C0938AE" w14:textId="5EFFFF6A" w:rsidR="000B0CC9" w:rsidRDefault="000B0CC9" w:rsidP="00360DE8">
      <w:pPr>
        <w:jc w:val="center"/>
      </w:pPr>
      <w:r>
        <w:rPr>
          <w:noProof/>
        </w:rPr>
        <w:drawing>
          <wp:inline distT="0" distB="0" distL="0" distR="0" wp14:anchorId="1DF66678" wp14:editId="09BD9A91">
            <wp:extent cx="3021381" cy="2047875"/>
            <wp:effectExtent l="0" t="0" r="7620" b="0"/>
            <wp:docPr id="30" name="Picture 30"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able&#10;&#10;Description automatically generated with medium confidence"/>
                    <pic:cNvPicPr/>
                  </pic:nvPicPr>
                  <pic:blipFill>
                    <a:blip r:embed="rId12"/>
                    <a:stretch>
                      <a:fillRect/>
                    </a:stretch>
                  </pic:blipFill>
                  <pic:spPr>
                    <a:xfrm>
                      <a:off x="0" y="0"/>
                      <a:ext cx="3071518" cy="2081857"/>
                    </a:xfrm>
                    <a:prstGeom prst="rect">
                      <a:avLst/>
                    </a:prstGeom>
                  </pic:spPr>
                </pic:pic>
              </a:graphicData>
            </a:graphic>
          </wp:inline>
        </w:drawing>
      </w:r>
    </w:p>
    <w:p w14:paraId="6CF1AF2B" w14:textId="77777777" w:rsidR="003D0AF5" w:rsidRDefault="003D0AF5" w:rsidP="003D0AF5">
      <w:r>
        <w:t>Figure 3. Completed Medium Metabolic Work Rate Chart</w:t>
      </w:r>
    </w:p>
    <w:p w14:paraId="76FD429E" w14:textId="77777777" w:rsidR="003D0AF5" w:rsidRDefault="003D0AF5"/>
    <w:p w14:paraId="731E7F79" w14:textId="4CD56170" w:rsidR="000B0CC9" w:rsidRDefault="00360DE8" w:rsidP="00360DE8">
      <w:pPr>
        <w:jc w:val="center"/>
      </w:pPr>
      <w:r>
        <w:rPr>
          <w:noProof/>
        </w:rPr>
        <w:drawing>
          <wp:inline distT="0" distB="0" distL="0" distR="0" wp14:anchorId="3107F3D5" wp14:editId="40699386">
            <wp:extent cx="3053114" cy="2038350"/>
            <wp:effectExtent l="0" t="0" r="0" b="0"/>
            <wp:docPr id="28" name="Picture 28"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able&#10;&#10;Description automatically generated"/>
                    <pic:cNvPicPr/>
                  </pic:nvPicPr>
                  <pic:blipFill>
                    <a:blip r:embed="rId13"/>
                    <a:stretch>
                      <a:fillRect/>
                    </a:stretch>
                  </pic:blipFill>
                  <pic:spPr>
                    <a:xfrm>
                      <a:off x="0" y="0"/>
                      <a:ext cx="3095122" cy="2066396"/>
                    </a:xfrm>
                    <a:prstGeom prst="rect">
                      <a:avLst/>
                    </a:prstGeom>
                  </pic:spPr>
                </pic:pic>
              </a:graphicData>
            </a:graphic>
          </wp:inline>
        </w:drawing>
      </w:r>
    </w:p>
    <w:p w14:paraId="08087B96" w14:textId="77777777" w:rsidR="003D0AF5" w:rsidRDefault="003D0AF5" w:rsidP="003D0AF5">
      <w:r>
        <w:t>Figure 4. Completed High Metabolic Work Rate Chart</w:t>
      </w:r>
    </w:p>
    <w:p w14:paraId="6AE255F5" w14:textId="77777777" w:rsidR="003D0AF5" w:rsidRDefault="003D0AF5">
      <w:pPr>
        <w:rPr>
          <w:b/>
          <w:bCs/>
        </w:rPr>
      </w:pPr>
    </w:p>
    <w:p w14:paraId="5AEFE21B" w14:textId="77777777" w:rsidR="000D571D" w:rsidRDefault="000D571D">
      <w:pPr>
        <w:rPr>
          <w:b/>
          <w:bCs/>
        </w:rPr>
      </w:pPr>
    </w:p>
    <w:p w14:paraId="4ACA4E2A" w14:textId="57FB9DD2" w:rsidR="004A76A4" w:rsidRPr="004A76A4" w:rsidRDefault="004A76A4">
      <w:pPr>
        <w:rPr>
          <w:b/>
          <w:bCs/>
        </w:rPr>
      </w:pPr>
      <w:r w:rsidRPr="004A76A4">
        <w:rPr>
          <w:b/>
          <w:bCs/>
        </w:rPr>
        <w:lastRenderedPageBreak/>
        <w:t>Discussion</w:t>
      </w:r>
    </w:p>
    <w:p w14:paraId="6D9BEE7B" w14:textId="78143C09" w:rsidR="00DA6CE8" w:rsidRDefault="00835BDF" w:rsidP="00835BDF">
      <w:r w:rsidRPr="002B32C5">
        <w:t xml:space="preserve">The three charts required the most extensive resource commitment to develop and were key to the first part of the management program. </w:t>
      </w:r>
      <w:r w:rsidR="00DA6CE8" w:rsidRPr="002B32C5">
        <w:t>However, i</w:t>
      </w:r>
      <w:r w:rsidRPr="002B32C5">
        <w:t xml:space="preserve">t is important to note that the charts should be utilised as part of the overall heat stress management programme. </w:t>
      </w:r>
      <w:r w:rsidR="008B56D1" w:rsidRPr="002B32C5">
        <w:t>They are</w:t>
      </w:r>
      <w:r w:rsidRPr="002B32C5">
        <w:t xml:space="preserve"> </w:t>
      </w:r>
      <w:r w:rsidRPr="002B32C5">
        <w:rPr>
          <w:u w:val="single"/>
        </w:rPr>
        <w:t>not</w:t>
      </w:r>
      <w:r w:rsidRPr="002B32C5">
        <w:t xml:space="preserve"> a stand-alone tool. </w:t>
      </w:r>
      <w:r w:rsidR="00DA6CE8">
        <w:t xml:space="preserve">Also included in the programme </w:t>
      </w:r>
      <w:r w:rsidR="007822B2">
        <w:t>were</w:t>
      </w:r>
      <w:r w:rsidR="00DA6CE8">
        <w:t>:</w:t>
      </w:r>
    </w:p>
    <w:p w14:paraId="0B634978" w14:textId="77777777" w:rsidR="00DA6CE8" w:rsidRDefault="00DA6CE8" w:rsidP="00DA6CE8">
      <w:pPr>
        <w:pStyle w:val="ListParagraph"/>
        <w:numPr>
          <w:ilvl w:val="0"/>
          <w:numId w:val="6"/>
        </w:numPr>
      </w:pPr>
      <w:r>
        <w:t>A training programme for employees developed to accompany the approach,</w:t>
      </w:r>
    </w:p>
    <w:p w14:paraId="6F3E8618" w14:textId="0E621217" w:rsidR="00DA6CE8" w:rsidRDefault="00DA6CE8" w:rsidP="00DA6CE8">
      <w:pPr>
        <w:pStyle w:val="ListParagraph"/>
        <w:numPr>
          <w:ilvl w:val="0"/>
          <w:numId w:val="6"/>
        </w:numPr>
      </w:pPr>
      <w:r>
        <w:t>Simple toolbox information sheet for the supervisor</w:t>
      </w:r>
    </w:p>
    <w:p w14:paraId="5F3A5B2C" w14:textId="2C27BC83" w:rsidR="00DA6CE8" w:rsidRDefault="00DA6CE8" w:rsidP="00DA6CE8">
      <w:pPr>
        <w:pStyle w:val="ListParagraph"/>
        <w:numPr>
          <w:ilvl w:val="0"/>
          <w:numId w:val="6"/>
        </w:numPr>
      </w:pPr>
      <w:r>
        <w:t>Colour coded basic thermal risk assessment</w:t>
      </w:r>
      <w:r w:rsidR="007822B2">
        <w:t xml:space="preserve"> to identify potential controls.</w:t>
      </w:r>
    </w:p>
    <w:p w14:paraId="52A544AB" w14:textId="2DAE9C01" w:rsidR="007822B2" w:rsidRDefault="007822B2" w:rsidP="00DA6CE8">
      <w:pPr>
        <w:pStyle w:val="ListParagraph"/>
        <w:numPr>
          <w:ilvl w:val="0"/>
          <w:numId w:val="6"/>
        </w:numPr>
      </w:pPr>
      <w:r>
        <w:t xml:space="preserve">Heat </w:t>
      </w:r>
      <w:r w:rsidR="003D0AF5">
        <w:t>s</w:t>
      </w:r>
      <w:r>
        <w:t xml:space="preserve">tress </w:t>
      </w:r>
      <w:r w:rsidR="003D0AF5">
        <w:t>r</w:t>
      </w:r>
      <w:r>
        <w:t xml:space="preserve">esponse </w:t>
      </w:r>
      <w:r w:rsidR="003D0AF5">
        <w:t>g</w:t>
      </w:r>
      <w:r>
        <w:t>uide</w:t>
      </w:r>
    </w:p>
    <w:p w14:paraId="70970E9B" w14:textId="71345282" w:rsidR="00835BDF" w:rsidRDefault="007822B2" w:rsidP="00DA6CE8">
      <w:pPr>
        <w:pStyle w:val="ListParagraph"/>
        <w:numPr>
          <w:ilvl w:val="0"/>
          <w:numId w:val="6"/>
        </w:numPr>
      </w:pPr>
      <w:r>
        <w:t>C</w:t>
      </w:r>
      <w:r w:rsidR="00DA6CE8">
        <w:t xml:space="preserve">ritical </w:t>
      </w:r>
      <w:r w:rsidR="003D0AF5">
        <w:t>c</w:t>
      </w:r>
      <w:r w:rsidR="00DA6CE8">
        <w:t xml:space="preserve">ontrol </w:t>
      </w:r>
      <w:r w:rsidR="003D0AF5">
        <w:t>o</w:t>
      </w:r>
      <w:r w:rsidR="00DA6CE8">
        <w:t xml:space="preserve">perator </w:t>
      </w:r>
      <w:r w:rsidR="003D0AF5">
        <w:t>h</w:t>
      </w:r>
      <w:r w:rsidR="00DA6CE8">
        <w:t xml:space="preserve">eat </w:t>
      </w:r>
      <w:r w:rsidR="003D0AF5">
        <w:t>s</w:t>
      </w:r>
      <w:r w:rsidR="00DA6CE8">
        <w:t xml:space="preserve">tress </w:t>
      </w:r>
      <w:r w:rsidR="003D0AF5">
        <w:t>c</w:t>
      </w:r>
      <w:r w:rsidR="00DA6CE8">
        <w:t>ard.</w:t>
      </w:r>
    </w:p>
    <w:p w14:paraId="338FB71C" w14:textId="641F3EBC" w:rsidR="007822B2" w:rsidRDefault="007822B2" w:rsidP="00835BDF">
      <w:r>
        <w:t xml:space="preserve">This project was  run alongside a hydration awareness program </w:t>
      </w:r>
      <w:r w:rsidR="00C3116F">
        <w:t xml:space="preserve">during the trial of </w:t>
      </w:r>
      <w:r>
        <w:t>a saliva testing protocol.</w:t>
      </w:r>
    </w:p>
    <w:p w14:paraId="3553B619" w14:textId="5AA56673" w:rsidR="00835BDF" w:rsidRDefault="00835BDF" w:rsidP="00835BDF">
      <w:r>
        <w:t xml:space="preserve">To use the </w:t>
      </w:r>
      <w:r w:rsidR="007822B2">
        <w:t>programme</w:t>
      </w:r>
      <w:r>
        <w:t>:</w:t>
      </w:r>
    </w:p>
    <w:p w14:paraId="677DB69F" w14:textId="7569C2AF" w:rsidR="00835BDF" w:rsidRDefault="00835BDF" w:rsidP="00835BDF">
      <w:pPr>
        <w:pStyle w:val="ListParagraph"/>
        <w:numPr>
          <w:ilvl w:val="0"/>
          <w:numId w:val="5"/>
        </w:numPr>
        <w:spacing w:after="160" w:line="259" w:lineRule="auto"/>
        <w:rPr>
          <w:rFonts w:asciiTheme="minorHAnsi" w:eastAsiaTheme="minorHAnsi" w:hAnsiTheme="minorHAnsi" w:cstheme="minorBidi"/>
        </w:rPr>
      </w:pPr>
      <w:r w:rsidRPr="00DD6BEA">
        <w:rPr>
          <w:rFonts w:asciiTheme="minorHAnsi" w:eastAsiaTheme="minorHAnsi" w:hAnsiTheme="minorHAnsi" w:cstheme="minorBidi"/>
        </w:rPr>
        <w:t xml:space="preserve">Identify the air temperature and humidity, either from the site weather station or </w:t>
      </w:r>
      <w:r w:rsidR="008B56D1">
        <w:rPr>
          <w:rFonts w:asciiTheme="minorHAnsi" w:eastAsiaTheme="minorHAnsi" w:hAnsiTheme="minorHAnsi" w:cstheme="minorBidi"/>
        </w:rPr>
        <w:t xml:space="preserve">by measurement </w:t>
      </w:r>
      <w:r w:rsidRPr="00DD6BEA">
        <w:rPr>
          <w:rFonts w:asciiTheme="minorHAnsi" w:eastAsiaTheme="minorHAnsi" w:hAnsiTheme="minorHAnsi" w:cstheme="minorBidi"/>
        </w:rPr>
        <w:t xml:space="preserve"> with an instrument directly at the work location. </w:t>
      </w:r>
    </w:p>
    <w:p w14:paraId="5CD3CDEC" w14:textId="5B3EB332" w:rsidR="00835BDF" w:rsidRDefault="00835BDF" w:rsidP="00835BDF">
      <w:pPr>
        <w:pStyle w:val="ListParagraph"/>
        <w:numPr>
          <w:ilvl w:val="0"/>
          <w:numId w:val="5"/>
        </w:numPr>
        <w:spacing w:after="160" w:line="259" w:lineRule="auto"/>
        <w:rPr>
          <w:rFonts w:asciiTheme="minorHAnsi" w:eastAsiaTheme="minorHAnsi" w:hAnsiTheme="minorHAnsi" w:cstheme="minorBidi"/>
        </w:rPr>
      </w:pPr>
      <w:r>
        <w:rPr>
          <w:rFonts w:asciiTheme="minorHAnsi" w:eastAsiaTheme="minorHAnsi" w:hAnsiTheme="minorHAnsi" w:cstheme="minorBidi"/>
        </w:rPr>
        <w:t>A</w:t>
      </w:r>
      <w:r w:rsidRPr="00DD6BEA">
        <w:rPr>
          <w:rFonts w:asciiTheme="minorHAnsi" w:eastAsiaTheme="minorHAnsi" w:hAnsiTheme="minorHAnsi" w:cstheme="minorBidi"/>
        </w:rPr>
        <w:t xml:space="preserve">ssess the </w:t>
      </w:r>
      <w:r w:rsidR="00F17DF5">
        <w:rPr>
          <w:rFonts w:asciiTheme="minorHAnsi" w:eastAsiaTheme="minorHAnsi" w:hAnsiTheme="minorHAnsi" w:cstheme="minorBidi"/>
        </w:rPr>
        <w:t>type of</w:t>
      </w:r>
      <w:r w:rsidR="008B56D1">
        <w:rPr>
          <w:rFonts w:asciiTheme="minorHAnsi" w:eastAsiaTheme="minorHAnsi" w:hAnsiTheme="minorHAnsi" w:cstheme="minorBidi"/>
        </w:rPr>
        <w:t xml:space="preserve"> </w:t>
      </w:r>
      <w:r w:rsidRPr="00DD6BEA">
        <w:rPr>
          <w:rFonts w:asciiTheme="minorHAnsi" w:eastAsiaTheme="minorHAnsi" w:hAnsiTheme="minorHAnsi" w:cstheme="minorBidi"/>
        </w:rPr>
        <w:t>work</w:t>
      </w:r>
      <w:r w:rsidR="00C3116F">
        <w:rPr>
          <w:rFonts w:asciiTheme="minorHAnsi" w:eastAsiaTheme="minorHAnsi" w:hAnsiTheme="minorHAnsi" w:cstheme="minorBidi"/>
        </w:rPr>
        <w:t xml:space="preserve"> </w:t>
      </w:r>
      <w:r w:rsidRPr="00DD6BEA">
        <w:rPr>
          <w:rFonts w:asciiTheme="minorHAnsi" w:eastAsiaTheme="minorHAnsi" w:hAnsiTheme="minorHAnsi" w:cstheme="minorBidi"/>
        </w:rPr>
        <w:t>to be undertaken in the task</w:t>
      </w:r>
      <w:r w:rsidR="00F17DF5">
        <w:rPr>
          <w:rFonts w:asciiTheme="minorHAnsi" w:eastAsiaTheme="minorHAnsi" w:hAnsiTheme="minorHAnsi" w:cstheme="minorBidi"/>
        </w:rPr>
        <w:t>,</w:t>
      </w:r>
      <w:r w:rsidRPr="00DD6BEA">
        <w:rPr>
          <w:rFonts w:asciiTheme="minorHAnsi" w:eastAsiaTheme="minorHAnsi" w:hAnsiTheme="minorHAnsi" w:cstheme="minorBidi"/>
        </w:rPr>
        <w:t xml:space="preserve"> for example simple inspection or walk around (Low), general maintenance with hand tools (Medium) or heavy manual labour such as digging holes or trenches by hand (High).</w:t>
      </w:r>
      <w:r>
        <w:rPr>
          <w:rFonts w:asciiTheme="minorHAnsi" w:eastAsiaTheme="minorHAnsi" w:hAnsiTheme="minorHAnsi" w:cstheme="minorBidi"/>
        </w:rPr>
        <w:t xml:space="preserve"> More detailed examples are presented in table 1 above.</w:t>
      </w:r>
    </w:p>
    <w:p w14:paraId="448FC09C" w14:textId="45248AB8" w:rsidR="00835BDF" w:rsidRDefault="00835BDF" w:rsidP="00835BDF">
      <w:pPr>
        <w:pStyle w:val="ListParagraph"/>
        <w:numPr>
          <w:ilvl w:val="0"/>
          <w:numId w:val="5"/>
        </w:numPr>
        <w:spacing w:after="160" w:line="259" w:lineRule="auto"/>
        <w:rPr>
          <w:rFonts w:asciiTheme="minorHAnsi" w:eastAsiaTheme="minorHAnsi" w:hAnsiTheme="minorHAnsi" w:cstheme="minorBidi"/>
        </w:rPr>
      </w:pPr>
      <w:r>
        <w:rPr>
          <w:rFonts w:asciiTheme="minorHAnsi" w:eastAsiaTheme="minorHAnsi" w:hAnsiTheme="minorHAnsi" w:cstheme="minorBidi"/>
        </w:rPr>
        <w:t xml:space="preserve">Refer to the </w:t>
      </w:r>
      <w:r w:rsidR="007B644D">
        <w:rPr>
          <w:rFonts w:asciiTheme="minorHAnsi" w:eastAsiaTheme="minorHAnsi" w:hAnsiTheme="minorHAnsi" w:cstheme="minorBidi"/>
        </w:rPr>
        <w:t xml:space="preserve">relevant </w:t>
      </w:r>
      <w:r>
        <w:rPr>
          <w:rFonts w:asciiTheme="minorHAnsi" w:eastAsiaTheme="minorHAnsi" w:hAnsiTheme="minorHAnsi" w:cstheme="minorBidi"/>
        </w:rPr>
        <w:t>PHS chart to identify the colour code.</w:t>
      </w:r>
    </w:p>
    <w:p w14:paraId="59DCED66" w14:textId="5826D493" w:rsidR="00835BDF" w:rsidRPr="00DD6BEA" w:rsidRDefault="00835BDF" w:rsidP="00835BDF">
      <w:pPr>
        <w:pStyle w:val="ListParagraph"/>
        <w:numPr>
          <w:ilvl w:val="0"/>
          <w:numId w:val="5"/>
        </w:numPr>
        <w:spacing w:after="160" w:line="259" w:lineRule="auto"/>
        <w:rPr>
          <w:rFonts w:asciiTheme="minorHAnsi" w:eastAsiaTheme="minorHAnsi" w:hAnsiTheme="minorHAnsi" w:cstheme="minorBidi"/>
        </w:rPr>
      </w:pPr>
      <w:r>
        <w:rPr>
          <w:rFonts w:asciiTheme="minorHAnsi" w:eastAsiaTheme="minorHAnsi" w:hAnsiTheme="minorHAnsi" w:cstheme="minorBidi"/>
        </w:rPr>
        <w:t>Use the colour code to identify the appropriate actions required from the Heat Stress Response Guide corresponding colour column.</w:t>
      </w:r>
    </w:p>
    <w:p w14:paraId="0B8C3BE6" w14:textId="3A62928A" w:rsidR="00835BDF" w:rsidRDefault="00835BDF" w:rsidP="00835BDF">
      <w:r>
        <w:t xml:space="preserve">This is presented visually in the flowchart in figure </w:t>
      </w:r>
      <w:r w:rsidR="007822B2">
        <w:t>5.</w:t>
      </w:r>
    </w:p>
    <w:p w14:paraId="16462723" w14:textId="5914B19B" w:rsidR="00835BDF" w:rsidRDefault="004C7C14" w:rsidP="00835BDF">
      <w:pPr>
        <w:spacing w:line="240" w:lineRule="auto"/>
      </w:pPr>
      <w:r>
        <w:rPr>
          <w:noProof/>
        </w:rPr>
        <w:lastRenderedPageBreak/>
        <w:drawing>
          <wp:anchor distT="0" distB="0" distL="114300" distR="114300" simplePos="0" relativeHeight="251659264" behindDoc="1" locked="0" layoutInCell="1" allowOverlap="0" wp14:anchorId="341C4B2F" wp14:editId="1C6E9346">
            <wp:simplePos x="0" y="0"/>
            <wp:positionH relativeFrom="column">
              <wp:posOffset>1308100</wp:posOffset>
            </wp:positionH>
            <wp:positionV relativeFrom="paragraph">
              <wp:posOffset>0</wp:posOffset>
            </wp:positionV>
            <wp:extent cx="2980690" cy="4143375"/>
            <wp:effectExtent l="0" t="0" r="0" b="9525"/>
            <wp:wrapTopAndBottom/>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980690" cy="4143375"/>
                    </a:xfrm>
                    <a:prstGeom prst="rect">
                      <a:avLst/>
                    </a:prstGeom>
                  </pic:spPr>
                </pic:pic>
              </a:graphicData>
            </a:graphic>
            <wp14:sizeRelH relativeFrom="margin">
              <wp14:pctWidth>0</wp14:pctWidth>
            </wp14:sizeRelH>
            <wp14:sizeRelV relativeFrom="margin">
              <wp14:pctHeight>0</wp14:pctHeight>
            </wp14:sizeRelV>
          </wp:anchor>
        </w:drawing>
      </w:r>
      <w:r w:rsidR="00835BDF" w:rsidRPr="00A05A34">
        <w:t xml:space="preserve">Figure </w:t>
      </w:r>
      <w:r w:rsidR="00835BDF">
        <w:t>5</w:t>
      </w:r>
      <w:r w:rsidR="00835BDF" w:rsidRPr="00A05A34">
        <w:t xml:space="preserve"> PHS Flowchart</w:t>
      </w:r>
    </w:p>
    <w:p w14:paraId="62F6F04F" w14:textId="15B9F32F" w:rsidR="00AA2F01" w:rsidRDefault="00B056C8" w:rsidP="00AA2F01">
      <w:r w:rsidRPr="00B056C8">
        <w:t xml:space="preserve">As a separate exercise, aligning the colour coding </w:t>
      </w:r>
      <w:r w:rsidR="00F775CB">
        <w:t xml:space="preserve">with </w:t>
      </w:r>
      <w:r w:rsidRPr="00B056C8">
        <w:t xml:space="preserve">the </w:t>
      </w:r>
      <w:r w:rsidR="00AA2F01" w:rsidRPr="00B056C8">
        <w:t xml:space="preserve">thermal work limit (TWL) result </w:t>
      </w:r>
      <w:r w:rsidRPr="00B056C8">
        <w:t xml:space="preserve">was also utilised as a trigger for the Heat Stress Response Guide </w:t>
      </w:r>
      <w:r>
        <w:t>for comparison</w:t>
      </w:r>
      <w:r w:rsidRPr="00B056C8">
        <w:t xml:space="preserve">. Whilst </w:t>
      </w:r>
      <w:r>
        <w:t xml:space="preserve">still </w:t>
      </w:r>
      <w:r w:rsidRPr="00B056C8">
        <w:t xml:space="preserve">early days, the alignment was quite good. </w:t>
      </w:r>
    </w:p>
    <w:p w14:paraId="4F7B740A" w14:textId="46151D59" w:rsidR="002C43AB" w:rsidRDefault="000F6A33" w:rsidP="002C43AB">
      <w:r>
        <w:t>The integrated programme relie</w:t>
      </w:r>
      <w:r w:rsidR="008B56D1">
        <w:t>s</w:t>
      </w:r>
      <w:r>
        <w:t xml:space="preserve"> heavily on colour</w:t>
      </w:r>
      <w:r w:rsidR="003A538E">
        <w:t xml:space="preserve"> coding as </w:t>
      </w:r>
      <w:r w:rsidR="00F775CB">
        <w:t>an</w:t>
      </w:r>
      <w:r w:rsidR="003A538E">
        <w:t xml:space="preserve"> indicator of risk and control</w:t>
      </w:r>
      <w:r w:rsidR="00B82FD9">
        <w:t xml:space="preserve"> and by doing so provides </w:t>
      </w:r>
      <w:r w:rsidR="003D0AF5">
        <w:t>the simplicity</w:t>
      </w:r>
      <w:r w:rsidR="003A538E">
        <w:t xml:space="preserve"> </w:t>
      </w:r>
      <w:r w:rsidR="00B82FD9">
        <w:t xml:space="preserve">that </w:t>
      </w:r>
      <w:r w:rsidR="003A538E">
        <w:t>is important for such a process to work in the field</w:t>
      </w:r>
      <w:r w:rsidR="004E71DE">
        <w:t xml:space="preserve"> for the operator</w:t>
      </w:r>
      <w:r w:rsidR="003A538E">
        <w:t xml:space="preserve">. </w:t>
      </w:r>
      <w:r w:rsidR="004E71DE">
        <w:t xml:space="preserve">It has also reduced the requirement </w:t>
      </w:r>
      <w:r w:rsidR="00F775CB">
        <w:t>of</w:t>
      </w:r>
      <w:r w:rsidR="003A538E">
        <w:t xml:space="preserve"> </w:t>
      </w:r>
      <w:r w:rsidR="004E71DE">
        <w:t xml:space="preserve">technical </w:t>
      </w:r>
      <w:r w:rsidR="003A538E">
        <w:t>instrumentation</w:t>
      </w:r>
      <w:r w:rsidR="004E71DE">
        <w:t xml:space="preserve"> at this level</w:t>
      </w:r>
      <w:r w:rsidR="00F775CB">
        <w:t xml:space="preserve">. </w:t>
      </w:r>
      <w:r w:rsidR="003A538E">
        <w:t xml:space="preserve"> </w:t>
      </w:r>
      <w:r w:rsidR="004E71DE">
        <w:t>Where</w:t>
      </w:r>
      <w:r w:rsidR="003A538E">
        <w:t xml:space="preserve"> scenarios </w:t>
      </w:r>
      <w:r w:rsidR="004E71DE">
        <w:t xml:space="preserve">predicted significant risk or </w:t>
      </w:r>
      <w:proofErr w:type="gramStart"/>
      <w:r w:rsidR="004E71DE">
        <w:t>uncertainty</w:t>
      </w:r>
      <w:proofErr w:type="gramEnd"/>
      <w:r w:rsidR="004E71DE">
        <w:t xml:space="preserve"> </w:t>
      </w:r>
      <w:r w:rsidR="003A538E">
        <w:t xml:space="preserve">they were directed by the </w:t>
      </w:r>
      <w:r w:rsidR="00F775CB">
        <w:t xml:space="preserve">heat stress </w:t>
      </w:r>
      <w:r w:rsidR="003A538E">
        <w:t xml:space="preserve">guide to seek technical expertise for advice. </w:t>
      </w:r>
    </w:p>
    <w:p w14:paraId="26AB068E" w14:textId="1F63B74B" w:rsidR="002C43AB" w:rsidRDefault="002C43AB" w:rsidP="002C43AB">
      <w:r>
        <w:t>Feedback from the sites using the model was important to determine whether the key criteria were addressed. This feedback included:</w:t>
      </w:r>
    </w:p>
    <w:p w14:paraId="6B00D5E0" w14:textId="77777777" w:rsidR="002C43AB" w:rsidRDefault="002C43AB" w:rsidP="002C43AB">
      <w:pPr>
        <w:pStyle w:val="ListParagraph"/>
        <w:numPr>
          <w:ilvl w:val="0"/>
          <w:numId w:val="8"/>
        </w:numPr>
      </w:pPr>
      <w:r w:rsidRPr="002C43AB">
        <w:rPr>
          <w:i/>
          <w:iCs/>
        </w:rPr>
        <w:t>Usefulness of Model Charts:</w:t>
      </w:r>
      <w:r>
        <w:t xml:space="preserve"> The model charts have indeed proven to be valuable. The structured approach they offer in assessing data and trends has been beneficial by those who have utilized them. The clear visualisation and systematic representation have enabled quicker decision-making and enhanced insights into the data, in conjunction with TWL readings.</w:t>
      </w:r>
    </w:p>
    <w:p w14:paraId="1A19E325" w14:textId="77777777" w:rsidR="002C43AB" w:rsidRDefault="002C43AB" w:rsidP="002C43AB">
      <w:pPr>
        <w:pStyle w:val="ListParagraph"/>
        <w:rPr>
          <w:rFonts w:eastAsiaTheme="minorHAnsi"/>
        </w:rPr>
      </w:pPr>
    </w:p>
    <w:p w14:paraId="6E2BC427" w14:textId="77777777" w:rsidR="002C43AB" w:rsidRDefault="002C43AB" w:rsidP="002C43AB">
      <w:pPr>
        <w:pStyle w:val="ListParagraph"/>
        <w:numPr>
          <w:ilvl w:val="0"/>
          <w:numId w:val="8"/>
        </w:numPr>
      </w:pPr>
      <w:r w:rsidRPr="002C43AB">
        <w:rPr>
          <w:i/>
          <w:iCs/>
        </w:rPr>
        <w:t>User-Friendliness:</w:t>
      </w:r>
      <w:r>
        <w:t xml:space="preserve"> Users, regardless of their technical background, have found the model charts fairly accessible. The effort you've put into making them user-friendly has paid off, as the majority of feedback indicates a positive experience. Those without a technical background have expressed appreciation for the simplicity of the charts and their ease of interpretation.</w:t>
      </w:r>
    </w:p>
    <w:p w14:paraId="2010F179" w14:textId="77777777" w:rsidR="002C43AB" w:rsidRDefault="002C43AB" w:rsidP="002C43AB">
      <w:pPr>
        <w:pStyle w:val="ListParagraph"/>
        <w:rPr>
          <w:rFonts w:eastAsiaTheme="minorHAnsi"/>
        </w:rPr>
      </w:pPr>
    </w:p>
    <w:p w14:paraId="450C789D" w14:textId="3D5CC5AE" w:rsidR="002C43AB" w:rsidRDefault="002C43AB" w:rsidP="002C43AB">
      <w:pPr>
        <w:pStyle w:val="ListParagraph"/>
        <w:numPr>
          <w:ilvl w:val="0"/>
          <w:numId w:val="8"/>
        </w:numPr>
      </w:pPr>
      <w:r w:rsidRPr="002C43AB">
        <w:rPr>
          <w:i/>
          <w:iCs/>
        </w:rPr>
        <w:t>Measurable Improvement in Heat Illnesses:</w:t>
      </w:r>
      <w:r>
        <w:t xml:space="preserve"> There is evidence of a significant improvement in the reporting of heat-related illnesses signs and symptoms. </w:t>
      </w:r>
    </w:p>
    <w:p w14:paraId="0A7BE7B8" w14:textId="77777777" w:rsidR="002C43AB" w:rsidRDefault="002C43AB" w:rsidP="002C43AB">
      <w:pPr>
        <w:pStyle w:val="ListParagraph"/>
        <w:rPr>
          <w:rFonts w:eastAsiaTheme="minorHAnsi"/>
        </w:rPr>
      </w:pPr>
    </w:p>
    <w:p w14:paraId="28D29FFE" w14:textId="62E78664" w:rsidR="002C43AB" w:rsidRDefault="002C43AB" w:rsidP="002C43AB">
      <w:pPr>
        <w:pStyle w:val="ListParagraph"/>
        <w:numPr>
          <w:ilvl w:val="0"/>
          <w:numId w:val="8"/>
        </w:numPr>
      </w:pPr>
      <w:r>
        <w:t>By utilising the charts, the early identification of potential risks has improved, leading to proactive measures being taken to prevent heat-related issues. This has undoubtedly contributed to a decrease in heat illnesses. Need to tighten up the language around “level 3 response”, specifically, there is a point where work is not practicable in that heat and presents cardiac risk.</w:t>
      </w:r>
    </w:p>
    <w:p w14:paraId="27FA5CA7" w14:textId="77777777" w:rsidR="002C43AB" w:rsidRDefault="002C43AB" w:rsidP="00835BDF"/>
    <w:p w14:paraId="24381339" w14:textId="35E1D625" w:rsidR="00835BDF" w:rsidRDefault="003A538E" w:rsidP="00835BDF">
      <w:r>
        <w:t xml:space="preserve">The </w:t>
      </w:r>
      <w:r w:rsidR="00B82FD9">
        <w:t xml:space="preserve">programme has been designed to ensure the </w:t>
      </w:r>
      <w:r>
        <w:t xml:space="preserve">control focus is on higher level controls and wherever possible </w:t>
      </w:r>
      <w:r w:rsidR="00B82FD9">
        <w:t xml:space="preserve">move </w:t>
      </w:r>
      <w:r>
        <w:t xml:space="preserve">away from purely </w:t>
      </w:r>
      <w:r w:rsidR="00AA2F01">
        <w:t xml:space="preserve">administrative or </w:t>
      </w:r>
      <w:r>
        <w:t xml:space="preserve">behavioural controls. They have their place but in situations where production targets loom or peer pressure exists, these controls tend not to perform well.  </w:t>
      </w:r>
    </w:p>
    <w:p w14:paraId="3CB5FF07" w14:textId="45BD4DF2" w:rsidR="00E87D19" w:rsidRDefault="00E87D19" w:rsidP="00835BDF">
      <w:r>
        <w:t>Of key importance in any programme is the commitment of the health and safety leaders and management of the company. Some of the new approaches and interventions were quite a paradigm shift in heat stress management and not always easy to accept but were at least given the opportunity.</w:t>
      </w:r>
    </w:p>
    <w:p w14:paraId="20021733" w14:textId="38E17066" w:rsidR="00AA2F01" w:rsidRPr="00346A6B" w:rsidRDefault="00AA2F01" w:rsidP="00835BDF">
      <w:pPr>
        <w:rPr>
          <w:b/>
          <w:bCs/>
        </w:rPr>
      </w:pPr>
      <w:r w:rsidRPr="00346A6B">
        <w:rPr>
          <w:b/>
          <w:bCs/>
        </w:rPr>
        <w:t>Conclusion</w:t>
      </w:r>
    </w:p>
    <w:p w14:paraId="23024B7D" w14:textId="635574A6" w:rsidR="00BF19AD" w:rsidRDefault="00AA2F01" w:rsidP="00835BDF">
      <w:r>
        <w:t xml:space="preserve">This programme was developed for a mining and exploration company that operates in one of </w:t>
      </w:r>
      <w:r w:rsidR="00346A6B">
        <w:t>Australia’s</w:t>
      </w:r>
      <w:r>
        <w:t xml:space="preserve"> </w:t>
      </w:r>
      <w:r w:rsidR="00346A6B">
        <w:t>harshest</w:t>
      </w:r>
      <w:r>
        <w:t xml:space="preserve"> thermal environments </w:t>
      </w:r>
      <w:r w:rsidR="00346A6B">
        <w:t xml:space="preserve">in the northwestern region of the country. </w:t>
      </w:r>
      <w:r w:rsidR="00BF19AD">
        <w:t>Key criteria were that a component of the approach needed to be similar to the NWS Heat Index Chart, i.e., simple and easily adopted by the frontline but that the overall programme reduced the heat stress risk to the employees and contractors.</w:t>
      </w:r>
    </w:p>
    <w:p w14:paraId="32EB19EF" w14:textId="60E24410" w:rsidR="00BF19AD" w:rsidRDefault="00346A6B" w:rsidP="00835BDF">
      <w:r>
        <w:t>During the trial the temperatures often exceed</w:t>
      </w:r>
      <w:r w:rsidR="00D331F9">
        <w:t>ed</w:t>
      </w:r>
      <w:r>
        <w:t xml:space="preserve"> 40 degrees centigrade for extended periods. </w:t>
      </w:r>
      <w:r w:rsidR="00E87D19">
        <w:t>The programme introduced several new tools for the management of heat stress</w:t>
      </w:r>
      <w:r w:rsidR="00B82FD9">
        <w:t xml:space="preserve"> in these environments</w:t>
      </w:r>
      <w:r w:rsidR="00E87D19">
        <w:t xml:space="preserve">. Some are used regularly others only rarely but are there if needed. </w:t>
      </w:r>
    </w:p>
    <w:p w14:paraId="28CDB7D1" w14:textId="33E1102D" w:rsidR="00AA2F01" w:rsidRDefault="00AA2F01" w:rsidP="00835BDF">
      <w:r>
        <w:t xml:space="preserve">Ultimately the measure of the success or otherwise of a programme is </w:t>
      </w:r>
      <w:r w:rsidR="00E87D19">
        <w:t>gauged</w:t>
      </w:r>
      <w:r>
        <w:t xml:space="preserve"> by the level of </w:t>
      </w:r>
      <w:r w:rsidR="00346A6B">
        <w:t xml:space="preserve">the </w:t>
      </w:r>
      <w:r>
        <w:t>reduction of heat incidents/illnesses</w:t>
      </w:r>
      <w:r w:rsidR="00346A6B">
        <w:t xml:space="preserve">. In the summer </w:t>
      </w:r>
      <w:r w:rsidR="00B82FD9">
        <w:t xml:space="preserve">preceding the development of the programme </w:t>
      </w:r>
      <w:r w:rsidR="00346A6B">
        <w:t xml:space="preserve">there were approximately forty heat stress related incidents reported at the </w:t>
      </w:r>
      <w:r w:rsidR="00F775CB">
        <w:t xml:space="preserve">company’s </w:t>
      </w:r>
      <w:r w:rsidR="00346A6B">
        <w:t>sites. In the summer after the implementation of the new programme there were</w:t>
      </w:r>
      <w:r w:rsidR="006137F5">
        <w:t xml:space="preserve"> only</w:t>
      </w:r>
      <w:r w:rsidR="00346A6B">
        <w:t xml:space="preserve"> </w:t>
      </w:r>
      <w:r w:rsidR="00346A6B" w:rsidRPr="00346A6B">
        <w:rPr>
          <w:b/>
          <w:bCs/>
        </w:rPr>
        <w:t>four</w:t>
      </w:r>
      <w:r w:rsidR="00346A6B">
        <w:t xml:space="preserve">. The company’s goal is </w:t>
      </w:r>
      <w:r w:rsidR="00E87D19">
        <w:t xml:space="preserve">to </w:t>
      </w:r>
      <w:r w:rsidR="00346A6B">
        <w:t>achieve zero and they are well on the way there.</w:t>
      </w:r>
    </w:p>
    <w:p w14:paraId="3359E7F3" w14:textId="1B9AA6D1" w:rsidR="00835BDF" w:rsidRDefault="00E87D19">
      <w:pPr>
        <w:rPr>
          <w:b/>
          <w:bCs/>
        </w:rPr>
      </w:pPr>
      <w:r w:rsidRPr="00E87D19">
        <w:rPr>
          <w:b/>
          <w:bCs/>
        </w:rPr>
        <w:t>Limitations</w:t>
      </w:r>
    </w:p>
    <w:p w14:paraId="7A2496CB" w14:textId="193E8E95" w:rsidR="00E87D19" w:rsidRDefault="00D331F9">
      <w:r>
        <w:t>In any project requiring the collection and assessment of data to establish a new concept there are limitations. Some that are associated with this exercise include:</w:t>
      </w:r>
    </w:p>
    <w:p w14:paraId="73FEB191" w14:textId="77777777" w:rsidR="00BF19AD" w:rsidRDefault="00D331F9" w:rsidP="00BF19AD">
      <w:pPr>
        <w:pStyle w:val="ListParagraph"/>
        <w:numPr>
          <w:ilvl w:val="0"/>
          <w:numId w:val="7"/>
        </w:numPr>
      </w:pPr>
      <w:r>
        <w:t>Heat stress ind</w:t>
      </w:r>
      <w:r w:rsidR="004619D5">
        <w:t>ex calculations</w:t>
      </w:r>
      <w:r>
        <w:t xml:space="preserve"> are based on fit, healthy participants</w:t>
      </w:r>
      <w:r w:rsidR="006137F5">
        <w:t>,</w:t>
      </w:r>
      <w:r w:rsidR="004619D5">
        <w:t xml:space="preserve"> 90kg, 1.8m.</w:t>
      </w:r>
      <w:r w:rsidR="00BF19AD" w:rsidRPr="00BF19AD">
        <w:t xml:space="preserve"> </w:t>
      </w:r>
    </w:p>
    <w:p w14:paraId="1BD580C0" w14:textId="7919F5FC" w:rsidR="00D331F9" w:rsidRDefault="00BF19AD" w:rsidP="00BF19AD">
      <w:pPr>
        <w:pStyle w:val="ListParagraph"/>
        <w:numPr>
          <w:ilvl w:val="0"/>
          <w:numId w:val="7"/>
        </w:numPr>
      </w:pPr>
      <w:r>
        <w:t>Globe temperatures were calculated from meteorological data.</w:t>
      </w:r>
    </w:p>
    <w:p w14:paraId="60C090B5" w14:textId="3B656D3E" w:rsidR="004619D5" w:rsidRDefault="00BF19AD" w:rsidP="00D331F9">
      <w:pPr>
        <w:pStyle w:val="ListParagraph"/>
        <w:numPr>
          <w:ilvl w:val="0"/>
          <w:numId w:val="7"/>
        </w:numPr>
      </w:pPr>
      <w:r>
        <w:t xml:space="preserve">An </w:t>
      </w:r>
      <w:r w:rsidR="004619D5">
        <w:t>averaged air velocity for the period</w:t>
      </w:r>
      <w:r>
        <w:t xml:space="preserve"> </w:t>
      </w:r>
      <w:r w:rsidR="009369EF">
        <w:t xml:space="preserve">and specific to the region </w:t>
      </w:r>
      <w:r>
        <w:t>was used rather than multiple variables.</w:t>
      </w:r>
    </w:p>
    <w:p w14:paraId="38DBB145" w14:textId="2614A1C8" w:rsidR="004619D5" w:rsidRDefault="004619D5" w:rsidP="00D331F9">
      <w:pPr>
        <w:pStyle w:val="ListParagraph"/>
        <w:numPr>
          <w:ilvl w:val="0"/>
          <w:numId w:val="7"/>
        </w:numPr>
      </w:pPr>
      <w:r>
        <w:t>Data from two months of the year: a larger database would have been preferred.</w:t>
      </w:r>
    </w:p>
    <w:p w14:paraId="13401FF4" w14:textId="7EABE542" w:rsidR="004619D5" w:rsidRDefault="004619D5" w:rsidP="00D331F9">
      <w:pPr>
        <w:pStyle w:val="ListParagraph"/>
        <w:numPr>
          <w:ilvl w:val="0"/>
          <w:numId w:val="7"/>
        </w:numPr>
      </w:pPr>
      <w:r>
        <w:t>Posture was limited to standing.</w:t>
      </w:r>
    </w:p>
    <w:p w14:paraId="1C1A6327" w14:textId="0A62A39A" w:rsidR="004619D5" w:rsidRDefault="004619D5" w:rsidP="00D331F9">
      <w:pPr>
        <w:pStyle w:val="ListParagraph"/>
        <w:numPr>
          <w:ilvl w:val="0"/>
          <w:numId w:val="7"/>
        </w:numPr>
      </w:pPr>
      <w:r>
        <w:t xml:space="preserve">ISO 7933 has </w:t>
      </w:r>
      <w:r w:rsidR="00BF19AD">
        <w:t>not been fully validated for some of the extreme conditions experienced.</w:t>
      </w:r>
    </w:p>
    <w:p w14:paraId="5E6D303F" w14:textId="77777777" w:rsidR="00AE2C9E" w:rsidRDefault="00AE2C9E" w:rsidP="004619D5"/>
    <w:p w14:paraId="6A724BB0" w14:textId="70D2B4C0" w:rsidR="004619D5" w:rsidRDefault="00BF19AD" w:rsidP="004619D5">
      <w:r>
        <w:t xml:space="preserve">Further research is required </w:t>
      </w:r>
      <w:r w:rsidR="006137F5">
        <w:t>to address some of the above limitations and then undertake a physiological validation of the charts in the field.</w:t>
      </w:r>
    </w:p>
    <w:p w14:paraId="0F6ECEEE" w14:textId="77777777" w:rsidR="009369EF" w:rsidRDefault="009369EF">
      <w:pPr>
        <w:rPr>
          <w:b/>
          <w:bCs/>
        </w:rPr>
      </w:pPr>
      <w:r>
        <w:rPr>
          <w:b/>
          <w:bCs/>
        </w:rPr>
        <w:br w:type="page"/>
      </w:r>
    </w:p>
    <w:p w14:paraId="14579733" w14:textId="3D1CA83C" w:rsidR="00E87D19" w:rsidRPr="000D571D" w:rsidRDefault="000D571D">
      <w:pPr>
        <w:rPr>
          <w:b/>
          <w:bCs/>
        </w:rPr>
      </w:pPr>
      <w:r w:rsidRPr="000D571D">
        <w:rPr>
          <w:b/>
          <w:bCs/>
        </w:rPr>
        <w:lastRenderedPageBreak/>
        <w:t>References</w:t>
      </w:r>
    </w:p>
    <w:sectPr w:rsidR="00E87D19" w:rsidRPr="000D571D" w:rsidSect="004C7C1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F7E9F" w14:textId="77777777" w:rsidR="00741B1C" w:rsidRDefault="00741B1C" w:rsidP="005B3E27">
      <w:pPr>
        <w:spacing w:after="0" w:line="240" w:lineRule="auto"/>
      </w:pPr>
      <w:r>
        <w:separator/>
      </w:r>
    </w:p>
  </w:endnote>
  <w:endnote w:type="continuationSeparator" w:id="0">
    <w:p w14:paraId="47C720AA" w14:textId="77777777" w:rsidR="00741B1C" w:rsidRDefault="00741B1C" w:rsidP="005B3E27">
      <w:pPr>
        <w:spacing w:after="0" w:line="240" w:lineRule="auto"/>
      </w:pPr>
      <w:r>
        <w:continuationSeparator/>
      </w:r>
    </w:p>
  </w:endnote>
  <w:endnote w:id="1">
    <w:p w14:paraId="1CAE2BC6" w14:textId="6DF74612" w:rsidR="00EE3449" w:rsidRDefault="00EE3449">
      <w:pPr>
        <w:pStyle w:val="EndnoteText"/>
      </w:pPr>
      <w:r>
        <w:rPr>
          <w:rStyle w:val="EndnoteReference"/>
        </w:rPr>
        <w:endnoteRef/>
      </w:r>
      <w:r>
        <w:t xml:space="preserve"> http://</w:t>
      </w:r>
      <w:r w:rsidRPr="00EE3449">
        <w:t xml:space="preserve"> https://www.weather.gov/ama/heatindex</w:t>
      </w:r>
    </w:p>
  </w:endnote>
  <w:endnote w:id="2">
    <w:p w14:paraId="69F55E79" w14:textId="77777777" w:rsidR="006A4E47" w:rsidRDefault="006A4E47" w:rsidP="006A4E47">
      <w:pPr>
        <w:pStyle w:val="EndnoteText"/>
      </w:pPr>
      <w:r>
        <w:rPr>
          <w:rStyle w:val="EndnoteReference"/>
        </w:rPr>
        <w:endnoteRef/>
      </w:r>
      <w:r>
        <w:t xml:space="preserve"> Quale, R., Doehring, F., (1981). Comparisons of Heat Stress Indexes (with applications to indoor room temperatures in winter). National Weather Digest</w:t>
      </w:r>
    </w:p>
  </w:endnote>
  <w:endnote w:id="3">
    <w:p w14:paraId="3E7A16CD" w14:textId="0449C6A1" w:rsidR="00DC2599" w:rsidRDefault="00DC2599">
      <w:pPr>
        <w:pStyle w:val="EndnoteText"/>
      </w:pPr>
      <w:r>
        <w:rPr>
          <w:rStyle w:val="EndnoteReference"/>
        </w:rPr>
        <w:endnoteRef/>
      </w:r>
      <w:r>
        <w:t xml:space="preserve"> Steadman, R.G., (1979). The assessment of sultriness. Part I: A temperature humidity index based on human physiology and clothing science, and Part II: Effects of wind, extra radiation</w:t>
      </w:r>
      <w:r w:rsidR="0065388C">
        <w:t xml:space="preserve"> </w:t>
      </w:r>
      <w:r>
        <w:t>and barometric pressure on apparent temperature. J. Appl. Met., Vol. 18, No.7 pp. 861-884.</w:t>
      </w:r>
    </w:p>
  </w:endnote>
  <w:endnote w:id="4">
    <w:p w14:paraId="08E6AA1F" w14:textId="77777777" w:rsidR="0007234C" w:rsidRDefault="0007234C" w:rsidP="0007234C">
      <w:pPr>
        <w:pStyle w:val="EndnoteText"/>
      </w:pPr>
      <w:r>
        <w:rPr>
          <w:rStyle w:val="EndnoteReference"/>
        </w:rPr>
        <w:endnoteRef/>
      </w:r>
      <w:r>
        <w:t xml:space="preserve"> </w:t>
      </w:r>
      <w:hyperlink r:id="rId1" w:history="1">
        <w:r w:rsidRPr="00E96D10">
          <w:rPr>
            <w:rStyle w:val="Hyperlink"/>
          </w:rPr>
          <w:t>https://ogletree.com/insights/judge-finds-no-scientific-basis-for-nws-heat-index-chart-used-by-osha-in-heat-stress-cases/</w:t>
        </w:r>
      </w:hyperlink>
      <w:r>
        <w:t xml:space="preserve"> Accessed 15/06/2023</w:t>
      </w:r>
    </w:p>
  </w:endnote>
  <w:endnote w:id="5">
    <w:p w14:paraId="14192D06" w14:textId="77777777" w:rsidR="0007234C" w:rsidRDefault="0007234C" w:rsidP="0007234C">
      <w:pPr>
        <w:pStyle w:val="EndnoteText"/>
      </w:pPr>
      <w:r>
        <w:rPr>
          <w:rStyle w:val="EndnoteReference"/>
        </w:rPr>
        <w:endnoteRef/>
      </w:r>
      <w:r>
        <w:t xml:space="preserve"> </w:t>
      </w:r>
      <w:r w:rsidRPr="005B3E27">
        <w:rPr>
          <w:rFonts w:cstheme="minorHAnsi"/>
          <w:sz w:val="18"/>
          <w:szCs w:val="18"/>
        </w:rPr>
        <w:t>Occupational Safety and Health Review Commission. (2020). Notice of Decision. Secretary of Labor v. United States Postal Service. OSHRC Docket No.: 16-1813.</w:t>
      </w:r>
    </w:p>
  </w:endnote>
  <w:endnote w:id="6">
    <w:p w14:paraId="7B970F1E" w14:textId="71581560" w:rsidR="006A4E47" w:rsidRPr="006A4E47" w:rsidRDefault="006A4E47">
      <w:pPr>
        <w:pStyle w:val="EndnoteText"/>
      </w:pPr>
      <w:r w:rsidRPr="006A4E47">
        <w:rPr>
          <w:rStyle w:val="EndnoteReference"/>
        </w:rPr>
        <w:endnoteRef/>
      </w:r>
      <w:r w:rsidRPr="006A4E47">
        <w:t xml:space="preserve"> </w:t>
      </w:r>
      <w:r w:rsidRPr="006A4E47">
        <w:rPr>
          <w:rFonts w:cstheme="minorHAnsi"/>
          <w:color w:val="000000"/>
        </w:rPr>
        <w:t xml:space="preserve">ISO 7933 </w:t>
      </w:r>
      <w:r w:rsidRPr="006A4E47">
        <w:rPr>
          <w:rFonts w:cstheme="minorHAnsi"/>
        </w:rPr>
        <w:t xml:space="preserve">(2004).  </w:t>
      </w:r>
      <w:r w:rsidRPr="006A4E47">
        <w:rPr>
          <w:rFonts w:cstheme="minorHAnsi"/>
          <w:i/>
        </w:rPr>
        <w:t>Ergonomics of the thermal environment - Analytical determination and interpretation of heat stress using calculation of the predicted heat strain</w:t>
      </w:r>
      <w:r w:rsidRPr="006A4E47">
        <w:rPr>
          <w:rFonts w:cstheme="minorHAnsi"/>
        </w:rPr>
        <w:t>.  International Organisation for Standardisation, Geneva</w:t>
      </w:r>
    </w:p>
  </w:endnote>
  <w:endnote w:id="7">
    <w:p w14:paraId="2B34C498" w14:textId="34FE20C8" w:rsidR="00467EE6" w:rsidRPr="00467EE6" w:rsidRDefault="00467EE6" w:rsidP="00467EE6">
      <w:pPr>
        <w:pStyle w:val="FootnoteText"/>
      </w:pPr>
      <w:r>
        <w:rPr>
          <w:rStyle w:val="EndnoteReference"/>
        </w:rPr>
        <w:endnoteRef/>
      </w:r>
      <w:r>
        <w:t xml:space="preserve"> </w:t>
      </w:r>
      <w:r w:rsidRPr="00467EE6">
        <w:rPr>
          <w:rFonts w:asciiTheme="minorHAnsi" w:hAnsiTheme="minorHAnsi" w:cstheme="minorHAnsi"/>
        </w:rPr>
        <w:t xml:space="preserve">Hajizadeh, R., Farhang Dehghan, S., </w:t>
      </w:r>
      <w:proofErr w:type="spellStart"/>
      <w:r w:rsidRPr="00467EE6">
        <w:rPr>
          <w:rFonts w:asciiTheme="minorHAnsi" w:hAnsiTheme="minorHAnsi" w:cstheme="minorHAnsi"/>
        </w:rPr>
        <w:t>Golbabaei</w:t>
      </w:r>
      <w:proofErr w:type="spellEnd"/>
      <w:r w:rsidRPr="00467EE6">
        <w:rPr>
          <w:rFonts w:asciiTheme="minorHAnsi" w:hAnsiTheme="minorHAnsi" w:cstheme="minorHAnsi"/>
        </w:rPr>
        <w:t xml:space="preserve">, F., Jafari, S.M., </w:t>
      </w:r>
      <w:proofErr w:type="spellStart"/>
      <w:r w:rsidRPr="00467EE6">
        <w:rPr>
          <w:rFonts w:asciiTheme="minorHAnsi" w:hAnsiTheme="minorHAnsi" w:cstheme="minorHAnsi"/>
        </w:rPr>
        <w:t>Karajizadeh</w:t>
      </w:r>
      <w:proofErr w:type="spellEnd"/>
      <w:r w:rsidRPr="00467EE6">
        <w:rPr>
          <w:rFonts w:asciiTheme="minorHAnsi" w:hAnsiTheme="minorHAnsi" w:cstheme="minorHAnsi"/>
        </w:rPr>
        <w:t xml:space="preserve">, M., 2017. </w:t>
      </w:r>
      <w:r w:rsidRPr="00467EE6">
        <w:rPr>
          <w:rFonts w:asciiTheme="minorHAnsi" w:hAnsiTheme="minorHAnsi" w:cstheme="minorHAnsi"/>
          <w:i/>
          <w:iCs/>
        </w:rPr>
        <w:t>Offering a model for estimating black globe temperature according to meteorological measurements.</w:t>
      </w:r>
      <w:r w:rsidRPr="00467EE6">
        <w:rPr>
          <w:rFonts w:asciiTheme="minorHAnsi" w:hAnsiTheme="minorHAnsi" w:cstheme="minorHAnsi"/>
        </w:rPr>
        <w:t xml:space="preserve"> Meteorological Applications 24, 303–</w:t>
      </w:r>
      <w:proofErr w:type="gramStart"/>
      <w:r w:rsidRPr="00467EE6">
        <w:rPr>
          <w:rFonts w:asciiTheme="minorHAnsi" w:hAnsiTheme="minorHAnsi" w:cstheme="minorHAnsi"/>
        </w:rPr>
        <w:t>307..</w:t>
      </w:r>
      <w:proofErr w:type="gramEnd"/>
      <w:r w:rsidRPr="00467EE6">
        <w:rPr>
          <w:rFonts w:asciiTheme="minorHAnsi" w:hAnsiTheme="minorHAnsi" w:cstheme="minorHAnsi"/>
        </w:rPr>
        <w:t xml:space="preserve"> doi:10.1002/met.1631</w:t>
      </w:r>
    </w:p>
  </w:endnote>
  <w:endnote w:id="8">
    <w:p w14:paraId="38350C5A" w14:textId="63F6DB3E" w:rsidR="00467EE6" w:rsidRPr="0009346E" w:rsidRDefault="00467EE6" w:rsidP="0009346E">
      <w:pPr>
        <w:rPr>
          <w:sz w:val="20"/>
          <w:szCs w:val="20"/>
        </w:rPr>
      </w:pPr>
      <w:r>
        <w:rPr>
          <w:rStyle w:val="EndnoteReference"/>
        </w:rPr>
        <w:endnoteRef/>
      </w:r>
      <w:r>
        <w:t xml:space="preserve"> </w:t>
      </w:r>
      <w:r w:rsidRPr="003C6BF8">
        <w:rPr>
          <w:sz w:val="20"/>
          <w:szCs w:val="20"/>
          <w:lang w:val="en-GB"/>
        </w:rPr>
        <w:t xml:space="preserve">ISO 9920 (1995).  </w:t>
      </w:r>
      <w:r w:rsidRPr="003C6BF8">
        <w:rPr>
          <w:i/>
          <w:iCs/>
          <w:sz w:val="20"/>
          <w:szCs w:val="20"/>
          <w:lang w:val="en-GB"/>
        </w:rPr>
        <w:t>Ergonomics of the thermal environment - Estimation of the thermal insulation and evaporative resistance of a clothing ensemble</w:t>
      </w:r>
      <w:r w:rsidRPr="003C6BF8">
        <w:rPr>
          <w:sz w:val="20"/>
          <w:szCs w:val="20"/>
          <w:lang w:val="en-GB"/>
        </w:rPr>
        <w:t>.  International Organisation for Standardisation, Geneva.</w:t>
      </w:r>
    </w:p>
  </w:endnote>
  <w:endnote w:id="9">
    <w:p w14:paraId="0A8FB94C" w14:textId="29E4986E" w:rsidR="0065388C" w:rsidRPr="0009346E" w:rsidRDefault="0065388C">
      <w:pPr>
        <w:pStyle w:val="EndnoteText"/>
      </w:pPr>
      <w:r>
        <w:rPr>
          <w:rStyle w:val="EndnoteReference"/>
        </w:rPr>
        <w:endnoteRef/>
      </w:r>
      <w:r>
        <w:t xml:space="preserve"> </w:t>
      </w:r>
      <w:r w:rsidRPr="0009346E">
        <w:rPr>
          <w:rFonts w:cstheme="minorHAnsi"/>
        </w:rPr>
        <w:t xml:space="preserve">ISO 8996 (2004). </w:t>
      </w:r>
      <w:r w:rsidRPr="0009346E">
        <w:rPr>
          <w:rFonts w:cstheme="minorHAnsi"/>
          <w:i/>
        </w:rPr>
        <w:t>Ergonomics of the thermal environment -Determination of metabolic rate</w:t>
      </w:r>
    </w:p>
  </w:endnote>
  <w:endnote w:id="10">
    <w:p w14:paraId="3CBC8A04" w14:textId="24296F82" w:rsidR="00752AC1" w:rsidRDefault="00752AC1">
      <w:pPr>
        <w:pStyle w:val="EndnoteText"/>
      </w:pPr>
      <w:r>
        <w:rPr>
          <w:rStyle w:val="EndnoteReference"/>
        </w:rPr>
        <w:endnoteRef/>
      </w:r>
      <w:r>
        <w:t xml:space="preserve"> Lund University webpage: </w:t>
      </w:r>
      <w:hyperlink r:id="rId2" w:history="1">
        <w:r w:rsidRPr="00626079">
          <w:rPr>
            <w:rStyle w:val="Hyperlink"/>
          </w:rPr>
          <w:t>https://www.eat.lth.se/fileadmin/eat/Termisk_miljoe/PHS/PHS.html</w:t>
        </w:r>
      </w:hyperlink>
      <w:r>
        <w:t xml:space="preserve"> </w:t>
      </w:r>
    </w:p>
  </w:endnote>
  <w:endnote w:id="11">
    <w:p w14:paraId="78A28866" w14:textId="218D2226" w:rsidR="00301EE4" w:rsidRPr="004C7C14" w:rsidRDefault="00301EE4" w:rsidP="004C7C14">
      <w:pPr>
        <w:rPr>
          <w:rFonts w:cstheme="minorHAnsi"/>
          <w:sz w:val="20"/>
          <w:szCs w:val="20"/>
        </w:rPr>
      </w:pPr>
      <w:r w:rsidRPr="0009346E">
        <w:rPr>
          <w:rStyle w:val="EndnoteReference"/>
          <w:sz w:val="20"/>
          <w:szCs w:val="20"/>
        </w:rPr>
        <w:endnoteRef/>
      </w:r>
      <w:r w:rsidRPr="0009346E">
        <w:rPr>
          <w:sz w:val="20"/>
          <w:szCs w:val="20"/>
        </w:rPr>
        <w:t xml:space="preserve"> </w:t>
      </w:r>
      <w:r w:rsidRPr="0009346E">
        <w:rPr>
          <w:rFonts w:cstheme="minorHAnsi"/>
          <w:sz w:val="20"/>
          <w:szCs w:val="20"/>
        </w:rPr>
        <w:t xml:space="preserve">World Health Organisation. Technical report series No 412., </w:t>
      </w:r>
      <w:r w:rsidRPr="0009346E">
        <w:rPr>
          <w:rFonts w:cstheme="minorHAnsi"/>
          <w:i/>
          <w:iCs/>
          <w:sz w:val="20"/>
          <w:szCs w:val="20"/>
        </w:rPr>
        <w:t>Health factors involved in working under conditions of heat stress.</w:t>
      </w:r>
      <w:r w:rsidRPr="0009346E">
        <w:rPr>
          <w:rFonts w:cstheme="minorHAnsi"/>
          <w:sz w:val="20"/>
          <w:szCs w:val="20"/>
        </w:rPr>
        <w:t xml:space="preserve"> Report of a WHO Scientific Committee. Geneva 1969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BEED" w14:textId="77777777" w:rsidR="00BF6E2A" w:rsidRDefault="00BF6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2EFA3" w14:textId="77777777" w:rsidR="00BF6E2A" w:rsidRDefault="00BF6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47FC6" w14:textId="77777777" w:rsidR="00BF6E2A" w:rsidRDefault="00BF6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109EE" w14:textId="77777777" w:rsidR="00741B1C" w:rsidRDefault="00741B1C" w:rsidP="005B3E27">
      <w:pPr>
        <w:spacing w:after="0" w:line="240" w:lineRule="auto"/>
      </w:pPr>
      <w:r>
        <w:separator/>
      </w:r>
    </w:p>
  </w:footnote>
  <w:footnote w:type="continuationSeparator" w:id="0">
    <w:p w14:paraId="4E4E5747" w14:textId="77777777" w:rsidR="00741B1C" w:rsidRDefault="00741B1C" w:rsidP="005B3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58EC" w14:textId="77777777" w:rsidR="00BF6E2A" w:rsidRDefault="00BF6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CEAED" w14:textId="5EFDD7A3" w:rsidR="00BF6E2A" w:rsidRDefault="00BF6E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A92BA" w14:textId="77777777" w:rsidR="00BF6E2A" w:rsidRDefault="00BF6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52575"/>
    <w:multiLevelType w:val="hybridMultilevel"/>
    <w:tmpl w:val="7B68E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200152"/>
    <w:multiLevelType w:val="hybridMultilevel"/>
    <w:tmpl w:val="AE069C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40F36658"/>
    <w:multiLevelType w:val="hybridMultilevel"/>
    <w:tmpl w:val="D528039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00345E1"/>
    <w:multiLevelType w:val="hybridMultilevel"/>
    <w:tmpl w:val="1C00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E871E4"/>
    <w:multiLevelType w:val="hybridMultilevel"/>
    <w:tmpl w:val="0D4EC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53341A"/>
    <w:multiLevelType w:val="hybridMultilevel"/>
    <w:tmpl w:val="2CD09EE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CFA2F52"/>
    <w:multiLevelType w:val="hybridMultilevel"/>
    <w:tmpl w:val="FF84FD10"/>
    <w:lvl w:ilvl="0" w:tplc="04090017">
      <w:start w:val="1"/>
      <w:numFmt w:val="lowerLetter"/>
      <w:lvlText w:val="%1)"/>
      <w:lvlJc w:val="left"/>
      <w:pPr>
        <w:ind w:left="706" w:hanging="360"/>
      </w:pPr>
    </w:lvl>
    <w:lvl w:ilvl="1" w:tplc="04090013">
      <w:start w:val="1"/>
      <w:numFmt w:val="upperRoman"/>
      <w:lvlText w:val="%2."/>
      <w:lvlJc w:val="right"/>
      <w:pPr>
        <w:ind w:left="1426" w:hanging="360"/>
      </w:pPr>
    </w:lvl>
    <w:lvl w:ilvl="2" w:tplc="0C09001B" w:tentative="1">
      <w:start w:val="1"/>
      <w:numFmt w:val="lowerRoman"/>
      <w:lvlText w:val="%3."/>
      <w:lvlJc w:val="right"/>
      <w:pPr>
        <w:ind w:left="2146" w:hanging="180"/>
      </w:pPr>
    </w:lvl>
    <w:lvl w:ilvl="3" w:tplc="0C09000F" w:tentative="1">
      <w:start w:val="1"/>
      <w:numFmt w:val="decimal"/>
      <w:lvlText w:val="%4."/>
      <w:lvlJc w:val="left"/>
      <w:pPr>
        <w:ind w:left="2866" w:hanging="360"/>
      </w:pPr>
    </w:lvl>
    <w:lvl w:ilvl="4" w:tplc="0C090019" w:tentative="1">
      <w:start w:val="1"/>
      <w:numFmt w:val="lowerLetter"/>
      <w:lvlText w:val="%5."/>
      <w:lvlJc w:val="left"/>
      <w:pPr>
        <w:ind w:left="3586" w:hanging="360"/>
      </w:pPr>
    </w:lvl>
    <w:lvl w:ilvl="5" w:tplc="0C09001B" w:tentative="1">
      <w:start w:val="1"/>
      <w:numFmt w:val="lowerRoman"/>
      <w:lvlText w:val="%6."/>
      <w:lvlJc w:val="right"/>
      <w:pPr>
        <w:ind w:left="4306" w:hanging="180"/>
      </w:pPr>
    </w:lvl>
    <w:lvl w:ilvl="6" w:tplc="0C09000F" w:tentative="1">
      <w:start w:val="1"/>
      <w:numFmt w:val="decimal"/>
      <w:lvlText w:val="%7."/>
      <w:lvlJc w:val="left"/>
      <w:pPr>
        <w:ind w:left="5026" w:hanging="360"/>
      </w:pPr>
    </w:lvl>
    <w:lvl w:ilvl="7" w:tplc="0C090019" w:tentative="1">
      <w:start w:val="1"/>
      <w:numFmt w:val="lowerLetter"/>
      <w:lvlText w:val="%8."/>
      <w:lvlJc w:val="left"/>
      <w:pPr>
        <w:ind w:left="5746" w:hanging="360"/>
      </w:pPr>
    </w:lvl>
    <w:lvl w:ilvl="8" w:tplc="0C09001B" w:tentative="1">
      <w:start w:val="1"/>
      <w:numFmt w:val="lowerRoman"/>
      <w:lvlText w:val="%9."/>
      <w:lvlJc w:val="right"/>
      <w:pPr>
        <w:ind w:left="6466" w:hanging="180"/>
      </w:pPr>
    </w:lvl>
  </w:abstractNum>
  <w:abstractNum w:abstractNumId="7" w15:restartNumberingAfterBreak="0">
    <w:nsid w:val="72F56A52"/>
    <w:multiLevelType w:val="hybridMultilevel"/>
    <w:tmpl w:val="518CC1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7791EF7"/>
    <w:multiLevelType w:val="hybridMultilevel"/>
    <w:tmpl w:val="28849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0946296">
    <w:abstractNumId w:val="0"/>
  </w:num>
  <w:num w:numId="2" w16cid:durableId="2020425918">
    <w:abstractNumId w:val="2"/>
  </w:num>
  <w:num w:numId="3" w16cid:durableId="910851713">
    <w:abstractNumId w:val="6"/>
  </w:num>
  <w:num w:numId="4" w16cid:durableId="2084327786">
    <w:abstractNumId w:val="4"/>
  </w:num>
  <w:num w:numId="5" w16cid:durableId="469907271">
    <w:abstractNumId w:val="5"/>
  </w:num>
  <w:num w:numId="6" w16cid:durableId="167402661">
    <w:abstractNumId w:val="8"/>
  </w:num>
  <w:num w:numId="7" w16cid:durableId="1565482696">
    <w:abstractNumId w:val="7"/>
  </w:num>
  <w:num w:numId="8" w16cid:durableId="817839590">
    <w:abstractNumId w:val="3"/>
  </w:num>
  <w:num w:numId="9" w16cid:durableId="19520090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00"/>
    <w:rsid w:val="000110F4"/>
    <w:rsid w:val="0007234C"/>
    <w:rsid w:val="0009346E"/>
    <w:rsid w:val="000B0CC9"/>
    <w:rsid w:val="000B5CC2"/>
    <w:rsid w:val="000C1C15"/>
    <w:rsid w:val="000D571D"/>
    <w:rsid w:val="000F6A33"/>
    <w:rsid w:val="001959FB"/>
    <w:rsid w:val="001A5452"/>
    <w:rsid w:val="001B484F"/>
    <w:rsid w:val="00220A8A"/>
    <w:rsid w:val="00245ECA"/>
    <w:rsid w:val="002834C7"/>
    <w:rsid w:val="002A56C3"/>
    <w:rsid w:val="002B32C5"/>
    <w:rsid w:val="002C43AB"/>
    <w:rsid w:val="00301EE4"/>
    <w:rsid w:val="00332D97"/>
    <w:rsid w:val="00346A6B"/>
    <w:rsid w:val="00360DE8"/>
    <w:rsid w:val="00392700"/>
    <w:rsid w:val="00394357"/>
    <w:rsid w:val="003A538E"/>
    <w:rsid w:val="003A5CD1"/>
    <w:rsid w:val="003D0AF5"/>
    <w:rsid w:val="004322E2"/>
    <w:rsid w:val="004619D5"/>
    <w:rsid w:val="00467EE6"/>
    <w:rsid w:val="004A76A4"/>
    <w:rsid w:val="004C7C14"/>
    <w:rsid w:val="004E71DE"/>
    <w:rsid w:val="00510EAF"/>
    <w:rsid w:val="0052271A"/>
    <w:rsid w:val="005439DD"/>
    <w:rsid w:val="005B3E27"/>
    <w:rsid w:val="005D03F6"/>
    <w:rsid w:val="006137F5"/>
    <w:rsid w:val="0064157A"/>
    <w:rsid w:val="00642939"/>
    <w:rsid w:val="0065388C"/>
    <w:rsid w:val="00684CAF"/>
    <w:rsid w:val="0069130B"/>
    <w:rsid w:val="006A4E47"/>
    <w:rsid w:val="006E6B6B"/>
    <w:rsid w:val="006F5ECA"/>
    <w:rsid w:val="00701F6E"/>
    <w:rsid w:val="00741B1C"/>
    <w:rsid w:val="00752AC1"/>
    <w:rsid w:val="007822B2"/>
    <w:rsid w:val="007B45F4"/>
    <w:rsid w:val="007B644D"/>
    <w:rsid w:val="007B721C"/>
    <w:rsid w:val="007D244F"/>
    <w:rsid w:val="00835BDF"/>
    <w:rsid w:val="00891DF7"/>
    <w:rsid w:val="008B56D1"/>
    <w:rsid w:val="008C01C7"/>
    <w:rsid w:val="00934E70"/>
    <w:rsid w:val="009369EF"/>
    <w:rsid w:val="00A0777B"/>
    <w:rsid w:val="00A16727"/>
    <w:rsid w:val="00A45301"/>
    <w:rsid w:val="00AA2F01"/>
    <w:rsid w:val="00AC6236"/>
    <w:rsid w:val="00AD76EB"/>
    <w:rsid w:val="00AE2C9E"/>
    <w:rsid w:val="00B0306B"/>
    <w:rsid w:val="00B056C8"/>
    <w:rsid w:val="00B62D73"/>
    <w:rsid w:val="00B76D43"/>
    <w:rsid w:val="00B82FD9"/>
    <w:rsid w:val="00BA5C11"/>
    <w:rsid w:val="00BE2B29"/>
    <w:rsid w:val="00BF19AD"/>
    <w:rsid w:val="00BF6E2A"/>
    <w:rsid w:val="00C3116F"/>
    <w:rsid w:val="00C77F28"/>
    <w:rsid w:val="00CA49CE"/>
    <w:rsid w:val="00CF56EE"/>
    <w:rsid w:val="00D331F9"/>
    <w:rsid w:val="00D60164"/>
    <w:rsid w:val="00D62CFA"/>
    <w:rsid w:val="00DA6CE8"/>
    <w:rsid w:val="00DC2599"/>
    <w:rsid w:val="00DE2E7C"/>
    <w:rsid w:val="00DF669A"/>
    <w:rsid w:val="00E04EBD"/>
    <w:rsid w:val="00E367E4"/>
    <w:rsid w:val="00E87D19"/>
    <w:rsid w:val="00E969F8"/>
    <w:rsid w:val="00EE3449"/>
    <w:rsid w:val="00F043AB"/>
    <w:rsid w:val="00F1416E"/>
    <w:rsid w:val="00F17DF5"/>
    <w:rsid w:val="00F37BD7"/>
    <w:rsid w:val="00F41151"/>
    <w:rsid w:val="00F4782B"/>
    <w:rsid w:val="00F50932"/>
    <w:rsid w:val="00F775CB"/>
    <w:rsid w:val="00FE56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DB9A7"/>
  <w15:chartTrackingRefBased/>
  <w15:docId w15:val="{30F64284-1429-4520-ABDD-6BF3CEE8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4C"/>
  </w:style>
  <w:style w:type="paragraph" w:styleId="Heading1">
    <w:name w:val="heading 1"/>
    <w:basedOn w:val="Normal"/>
    <w:next w:val="Normal"/>
    <w:link w:val="Heading1Char"/>
    <w:uiPriority w:val="9"/>
    <w:qFormat/>
    <w:rsid w:val="003927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27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70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92700"/>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5B3E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3E27"/>
    <w:rPr>
      <w:sz w:val="20"/>
      <w:szCs w:val="20"/>
    </w:rPr>
  </w:style>
  <w:style w:type="character" w:styleId="EndnoteReference">
    <w:name w:val="endnote reference"/>
    <w:basedOn w:val="DefaultParagraphFont"/>
    <w:uiPriority w:val="99"/>
    <w:semiHidden/>
    <w:unhideWhenUsed/>
    <w:rsid w:val="005B3E27"/>
    <w:rPr>
      <w:vertAlign w:val="superscript"/>
    </w:rPr>
  </w:style>
  <w:style w:type="paragraph" w:customStyle="1" w:styleId="Default">
    <w:name w:val="Default"/>
    <w:rsid w:val="005B3E27"/>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AC6236"/>
    <w:rPr>
      <w:color w:val="0563C1" w:themeColor="hyperlink"/>
      <w:u w:val="single"/>
    </w:rPr>
  </w:style>
  <w:style w:type="character" w:styleId="UnresolvedMention">
    <w:name w:val="Unresolved Mention"/>
    <w:basedOn w:val="DefaultParagraphFont"/>
    <w:uiPriority w:val="99"/>
    <w:semiHidden/>
    <w:unhideWhenUsed/>
    <w:rsid w:val="00AC6236"/>
    <w:rPr>
      <w:color w:val="605E5C"/>
      <w:shd w:val="clear" w:color="auto" w:fill="E1DFDD"/>
    </w:rPr>
  </w:style>
  <w:style w:type="character" w:styleId="FollowedHyperlink">
    <w:name w:val="FollowedHyperlink"/>
    <w:basedOn w:val="DefaultParagraphFont"/>
    <w:uiPriority w:val="99"/>
    <w:semiHidden/>
    <w:unhideWhenUsed/>
    <w:rsid w:val="00B0306B"/>
    <w:rPr>
      <w:color w:val="954F72" w:themeColor="followedHyperlink"/>
      <w:u w:val="single"/>
    </w:rPr>
  </w:style>
  <w:style w:type="paragraph" w:styleId="FootnoteText">
    <w:name w:val="footnote text"/>
    <w:basedOn w:val="Normal"/>
    <w:link w:val="FootnoteTextChar"/>
    <w:unhideWhenUsed/>
    <w:rsid w:val="00467EE6"/>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sid w:val="00467EE6"/>
    <w:rPr>
      <w:rFonts w:ascii="Times New Roman" w:eastAsia="Times New Roman" w:hAnsi="Times New Roman" w:cs="Times New Roman"/>
      <w:kern w:val="0"/>
      <w:sz w:val="20"/>
      <w:szCs w:val="20"/>
      <w14:ligatures w14:val="none"/>
    </w:rPr>
  </w:style>
  <w:style w:type="table" w:styleId="TableGrid">
    <w:name w:val="Table Grid"/>
    <w:basedOn w:val="TableNormal"/>
    <w:uiPriority w:val="39"/>
    <w:rsid w:val="00301E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1EE4"/>
    <w:pPr>
      <w:spacing w:after="0" w:line="240" w:lineRule="auto"/>
      <w:ind w:left="720"/>
    </w:pPr>
    <w:rPr>
      <w:rFonts w:ascii="Calibri" w:eastAsia="Times New Roman" w:hAnsi="Calibri" w:cs="Calibri"/>
      <w:kern w:val="0"/>
      <w:lang w:eastAsia="en-AU"/>
      <w14:ligatures w14:val="none"/>
    </w:rPr>
  </w:style>
  <w:style w:type="paragraph" w:styleId="Header">
    <w:name w:val="header"/>
    <w:basedOn w:val="Normal"/>
    <w:link w:val="HeaderChar"/>
    <w:uiPriority w:val="99"/>
    <w:unhideWhenUsed/>
    <w:rsid w:val="00BF6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E2A"/>
  </w:style>
  <w:style w:type="paragraph" w:styleId="Footer">
    <w:name w:val="footer"/>
    <w:basedOn w:val="Normal"/>
    <w:link w:val="FooterChar"/>
    <w:uiPriority w:val="99"/>
    <w:unhideWhenUsed/>
    <w:rsid w:val="00BF6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E2A"/>
  </w:style>
  <w:style w:type="paragraph" w:styleId="Revision">
    <w:name w:val="Revision"/>
    <w:hidden/>
    <w:uiPriority w:val="99"/>
    <w:semiHidden/>
    <w:rsid w:val="00F4782B"/>
    <w:pPr>
      <w:spacing w:after="0" w:line="240" w:lineRule="auto"/>
    </w:pPr>
  </w:style>
  <w:style w:type="character" w:styleId="CommentReference">
    <w:name w:val="annotation reference"/>
    <w:basedOn w:val="DefaultParagraphFont"/>
    <w:uiPriority w:val="99"/>
    <w:semiHidden/>
    <w:unhideWhenUsed/>
    <w:rsid w:val="00FE56B2"/>
    <w:rPr>
      <w:sz w:val="16"/>
      <w:szCs w:val="16"/>
    </w:rPr>
  </w:style>
  <w:style w:type="paragraph" w:styleId="CommentText">
    <w:name w:val="annotation text"/>
    <w:basedOn w:val="Normal"/>
    <w:link w:val="CommentTextChar"/>
    <w:uiPriority w:val="99"/>
    <w:unhideWhenUsed/>
    <w:rsid w:val="00FE56B2"/>
    <w:pPr>
      <w:spacing w:line="240" w:lineRule="auto"/>
    </w:pPr>
    <w:rPr>
      <w:sz w:val="20"/>
      <w:szCs w:val="20"/>
    </w:rPr>
  </w:style>
  <w:style w:type="character" w:customStyle="1" w:styleId="CommentTextChar">
    <w:name w:val="Comment Text Char"/>
    <w:basedOn w:val="DefaultParagraphFont"/>
    <w:link w:val="CommentText"/>
    <w:uiPriority w:val="99"/>
    <w:rsid w:val="00FE56B2"/>
    <w:rPr>
      <w:sz w:val="20"/>
      <w:szCs w:val="20"/>
    </w:rPr>
  </w:style>
  <w:style w:type="paragraph" w:styleId="CommentSubject">
    <w:name w:val="annotation subject"/>
    <w:basedOn w:val="CommentText"/>
    <w:next w:val="CommentText"/>
    <w:link w:val="CommentSubjectChar"/>
    <w:uiPriority w:val="99"/>
    <w:semiHidden/>
    <w:unhideWhenUsed/>
    <w:rsid w:val="00FE56B2"/>
    <w:rPr>
      <w:b/>
      <w:bCs/>
    </w:rPr>
  </w:style>
  <w:style w:type="character" w:customStyle="1" w:styleId="CommentSubjectChar">
    <w:name w:val="Comment Subject Char"/>
    <w:basedOn w:val="CommentTextChar"/>
    <w:link w:val="CommentSubject"/>
    <w:uiPriority w:val="99"/>
    <w:semiHidden/>
    <w:rsid w:val="00FE56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736896">
      <w:bodyDiv w:val="1"/>
      <w:marLeft w:val="0"/>
      <w:marRight w:val="0"/>
      <w:marTop w:val="0"/>
      <w:marBottom w:val="0"/>
      <w:divBdr>
        <w:top w:val="none" w:sz="0" w:space="0" w:color="auto"/>
        <w:left w:val="none" w:sz="0" w:space="0" w:color="auto"/>
        <w:bottom w:val="none" w:sz="0" w:space="0" w:color="auto"/>
        <w:right w:val="none" w:sz="0" w:space="0" w:color="auto"/>
      </w:divBdr>
      <w:divsChild>
        <w:div w:id="1583024753">
          <w:marLeft w:val="547"/>
          <w:marRight w:val="0"/>
          <w:marTop w:val="58"/>
          <w:marBottom w:val="0"/>
          <w:divBdr>
            <w:top w:val="none" w:sz="0" w:space="0" w:color="auto"/>
            <w:left w:val="none" w:sz="0" w:space="0" w:color="auto"/>
            <w:bottom w:val="none" w:sz="0" w:space="0" w:color="auto"/>
            <w:right w:val="none" w:sz="0" w:space="0" w:color="auto"/>
          </w:divBdr>
        </w:div>
      </w:divsChild>
    </w:div>
    <w:div w:id="214383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eat.lth.se/fileadmin/eat/Termisk_miljoe/PHS/PHS.html" TargetMode="External"/><Relationship Id="rId1" Type="http://schemas.openxmlformats.org/officeDocument/2006/relationships/hyperlink" Target="https://ogletree.com/insights/judge-finds-no-scientific-basis-for-nws-heat-index-chart-used-by-osha-in-heat-stress-c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C8462-CD52-4B15-82DC-806C0D34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Ross Di Corleto</dc:creator>
  <cp:keywords/>
  <dc:description/>
  <cp:lastModifiedBy>Ross Di Corleto</cp:lastModifiedBy>
  <cp:revision>2</cp:revision>
  <dcterms:created xsi:type="dcterms:W3CDTF">2025-03-24T01:57:00Z</dcterms:created>
  <dcterms:modified xsi:type="dcterms:W3CDTF">2025-03-24T01:57:00Z</dcterms:modified>
</cp:coreProperties>
</file>